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1520" w14:textId="7D9D7338" w:rsidR="00FA5F4C" w:rsidRDefault="00285016" w:rsidP="00293A8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Standards of Liability for </w:t>
      </w:r>
      <w:r w:rsidR="005628BD">
        <w:rPr>
          <w:b/>
        </w:rPr>
        <w:t>Infringement of Intellectual Property Rights</w:t>
      </w:r>
    </w:p>
    <w:p w14:paraId="1C5A1F8F" w14:textId="4879804C" w:rsidR="00293A8E" w:rsidRDefault="00293A8E" w:rsidP="00293A8E">
      <w:pPr>
        <w:jc w:val="center"/>
        <w:rPr>
          <w:b/>
        </w:rPr>
      </w:pPr>
    </w:p>
    <w:p w14:paraId="783BCB28" w14:textId="4C990A25" w:rsidR="00293A8E" w:rsidRDefault="00293A8E" w:rsidP="00293A8E">
      <w:pPr>
        <w:jc w:val="center"/>
      </w:pPr>
      <w:r>
        <w:t>Peter Cane</w:t>
      </w:r>
    </w:p>
    <w:p w14:paraId="2627027D" w14:textId="5F34A7D0" w:rsidR="00293A8E" w:rsidRDefault="00293A8E" w:rsidP="00293A8E">
      <w:pPr>
        <w:jc w:val="center"/>
      </w:pPr>
      <w:r>
        <w:t>Christ’s College and ANU</w:t>
      </w:r>
    </w:p>
    <w:p w14:paraId="0216B580" w14:textId="3C3DA84C" w:rsidR="005A29C0" w:rsidRDefault="005A29C0" w:rsidP="00293A8E">
      <w:pPr>
        <w:jc w:val="center"/>
      </w:pPr>
    </w:p>
    <w:p w14:paraId="483B494F" w14:textId="77777777" w:rsidR="00D01769" w:rsidRDefault="00D01769" w:rsidP="005A29C0">
      <w:pPr>
        <w:rPr>
          <w:b/>
        </w:rPr>
      </w:pPr>
    </w:p>
    <w:p w14:paraId="4371FEF9" w14:textId="57BA3C9F" w:rsidR="006179C7" w:rsidRDefault="00D229EE" w:rsidP="005A29C0">
      <w:pPr>
        <w:rPr>
          <w:b/>
        </w:rPr>
      </w:pPr>
      <w:r>
        <w:rPr>
          <w:b/>
        </w:rPr>
        <w:t xml:space="preserve">Conference </w:t>
      </w:r>
      <w:r w:rsidR="00340581">
        <w:rPr>
          <w:b/>
        </w:rPr>
        <w:t xml:space="preserve">organisers’ </w:t>
      </w:r>
      <w:r>
        <w:rPr>
          <w:b/>
        </w:rPr>
        <w:t>p</w:t>
      </w:r>
      <w:r w:rsidR="005A29C0">
        <w:rPr>
          <w:b/>
        </w:rPr>
        <w:t>rovocation</w:t>
      </w:r>
    </w:p>
    <w:p w14:paraId="246E3950" w14:textId="678C7E4B" w:rsidR="005A29C0" w:rsidRDefault="005A29C0" w:rsidP="005A29C0">
      <w:r>
        <w:t>IP law was, for much of the 20</w:t>
      </w:r>
      <w:r w:rsidRPr="005A29C0">
        <w:rPr>
          <w:vertAlign w:val="superscript"/>
        </w:rPr>
        <w:t>th</w:t>
      </w:r>
      <w:r>
        <w:t xml:space="preserve"> century, thought of as a body of strict liability torts. In recent years, knowledge and intent</w:t>
      </w:r>
      <w:r w:rsidR="006179C7">
        <w:t xml:space="preserve"> have assumed an increasingly prominent role.</w:t>
      </w:r>
      <w:r w:rsidR="00D01769">
        <w:t xml:space="preserve"> How is this </w:t>
      </w:r>
      <w:r w:rsidR="003871B0">
        <w:t>d</w:t>
      </w:r>
      <w:r w:rsidR="00D01769">
        <w:t>evelopment best understood?</w:t>
      </w:r>
    </w:p>
    <w:p w14:paraId="7935FB8C" w14:textId="77777777" w:rsidR="00E85221" w:rsidRDefault="00E85221" w:rsidP="005A29C0">
      <w:pPr>
        <w:rPr>
          <w:b/>
        </w:rPr>
      </w:pPr>
    </w:p>
    <w:p w14:paraId="17B27165" w14:textId="529E7FC9" w:rsidR="006179C7" w:rsidRDefault="00340581" w:rsidP="005A29C0">
      <w:pPr>
        <w:rPr>
          <w:b/>
        </w:rPr>
      </w:pPr>
      <w:r>
        <w:rPr>
          <w:b/>
        </w:rPr>
        <w:t>Organisers’ h</w:t>
      </w:r>
      <w:r w:rsidR="006179C7">
        <w:rPr>
          <w:b/>
        </w:rPr>
        <w:t>ypothesized explanations</w:t>
      </w:r>
    </w:p>
    <w:p w14:paraId="0BA29BA8" w14:textId="52E37D95" w:rsidR="006179C7" w:rsidRDefault="006179C7" w:rsidP="006179C7">
      <w:r>
        <w:t>1. ‘pure coincidence’</w:t>
      </w:r>
    </w:p>
    <w:p w14:paraId="7C55A101" w14:textId="231891FC" w:rsidR="006179C7" w:rsidRPr="00D229EE" w:rsidRDefault="006179C7" w:rsidP="006179C7">
      <w:r>
        <w:t>2. response to ‘free-riding’</w:t>
      </w:r>
      <w:r w:rsidR="00D229EE">
        <w:t xml:space="preserve"> (</w:t>
      </w:r>
      <w:r w:rsidR="00AC52BA">
        <w:t>reaping without sowing, regardless of harm</w:t>
      </w:r>
      <w:r w:rsidR="00D229EE">
        <w:t>)</w:t>
      </w:r>
    </w:p>
    <w:p w14:paraId="7A7F4196" w14:textId="64FB9B1F" w:rsidR="006179C7" w:rsidRDefault="006179C7" w:rsidP="006179C7">
      <w:r>
        <w:t>3. collapse of distinction between primary and secondary</w:t>
      </w:r>
      <w:r w:rsidR="00AB093A">
        <w:t>/ancillary</w:t>
      </w:r>
      <w:r>
        <w:t xml:space="preserve"> liability</w:t>
      </w:r>
      <w:r w:rsidR="00D229EE">
        <w:t xml:space="preserve"> (leakage of fault from the latter to the former?)</w:t>
      </w:r>
    </w:p>
    <w:p w14:paraId="63B16018" w14:textId="25991245" w:rsidR="006179C7" w:rsidRPr="00D229EE" w:rsidRDefault="00340581" w:rsidP="006179C7">
      <w:r>
        <w:t>*</w:t>
      </w:r>
      <w:r w:rsidR="006179C7">
        <w:t xml:space="preserve">4. influence of shift to fault in </w:t>
      </w:r>
      <w:r w:rsidR="006179C7" w:rsidRPr="00D01769">
        <w:rPr>
          <w:i/>
        </w:rPr>
        <w:t>the main body of tort law</w:t>
      </w:r>
      <w:r w:rsidR="00D229EE">
        <w:t xml:space="preserve"> (has such a shift taken place?)</w:t>
      </w:r>
    </w:p>
    <w:p w14:paraId="48881E4A" w14:textId="3DE73D48" w:rsidR="006179C7" w:rsidRDefault="006C0DCA" w:rsidP="006179C7">
      <w:r>
        <w:t>*</w:t>
      </w:r>
      <w:r w:rsidR="006179C7">
        <w:t>5. discomfort with propertising the relevant interests</w:t>
      </w:r>
      <w:r w:rsidR="00D229EE">
        <w:t xml:space="preserve"> (what is the significance of the property label?)</w:t>
      </w:r>
    </w:p>
    <w:p w14:paraId="4BFEFF0D" w14:textId="7C5EA925" w:rsidR="006179C7" w:rsidRDefault="00340581" w:rsidP="006179C7">
      <w:r>
        <w:t>*</w:t>
      </w:r>
      <w:r w:rsidR="006179C7">
        <w:t xml:space="preserve">6. recognition of </w:t>
      </w:r>
      <w:r w:rsidR="00D01769">
        <w:t xml:space="preserve">social </w:t>
      </w:r>
      <w:r w:rsidR="00E85221">
        <w:t>value of allegedly</w:t>
      </w:r>
      <w:r w:rsidR="006179C7">
        <w:t xml:space="preserve"> infringing conduct</w:t>
      </w:r>
      <w:r w:rsidR="00D229EE">
        <w:t xml:space="preserve"> (a distributive issue)</w:t>
      </w:r>
    </w:p>
    <w:p w14:paraId="20618415" w14:textId="71543E6A" w:rsidR="006179C7" w:rsidRDefault="006179C7" w:rsidP="006179C7">
      <w:r>
        <w:t>7. influence of human</w:t>
      </w:r>
      <w:r w:rsidR="00E85221">
        <w:t>-</w:t>
      </w:r>
      <w:r>
        <w:t>rights thinking</w:t>
      </w:r>
      <w:r w:rsidR="00D229EE">
        <w:t xml:space="preserve"> (</w:t>
      </w:r>
      <w:r w:rsidR="00340581">
        <w:t>some concept of proportionality</w:t>
      </w:r>
      <w:r w:rsidR="00D229EE">
        <w:t>?)</w:t>
      </w:r>
    </w:p>
    <w:p w14:paraId="1DF659E0" w14:textId="49FDEB0D" w:rsidR="006179C7" w:rsidRDefault="006179C7" w:rsidP="006179C7">
      <w:r>
        <w:t xml:space="preserve">8. </w:t>
      </w:r>
      <w:r w:rsidR="00340581">
        <w:t xml:space="preserve">influence of and </w:t>
      </w:r>
      <w:r>
        <w:t>pressure for harmonisation</w:t>
      </w:r>
      <w:r w:rsidR="00D229EE">
        <w:t xml:space="preserve"> with</w:t>
      </w:r>
      <w:r w:rsidR="00340581">
        <w:t xml:space="preserve"> </w:t>
      </w:r>
      <w:r>
        <w:t>other legal systems</w:t>
      </w:r>
      <w:r w:rsidR="00D229EE">
        <w:t xml:space="preserve"> (at the doctrinal lev</w:t>
      </w:r>
      <w:r w:rsidR="00BD6C1F">
        <w:t>el?)</w:t>
      </w:r>
    </w:p>
    <w:p w14:paraId="10FF0272" w14:textId="6B26CEB7" w:rsidR="006179C7" w:rsidRPr="006179C7" w:rsidRDefault="006179C7" w:rsidP="006179C7">
      <w:r>
        <w:t xml:space="preserve">9. </w:t>
      </w:r>
      <w:r w:rsidR="00E85221">
        <w:t>jurisdiction-shaping (CJEU)</w:t>
      </w:r>
      <w:r w:rsidR="00180E86">
        <w:t xml:space="preserve"> (legal fiction</w:t>
      </w:r>
      <w:r w:rsidR="006C0DCA">
        <w:t>?</w:t>
      </w:r>
      <w:r w:rsidR="00180E86">
        <w:t>)</w:t>
      </w:r>
    </w:p>
    <w:p w14:paraId="4B1F0E39" w14:textId="77777777" w:rsidR="006179C7" w:rsidRPr="006179C7" w:rsidRDefault="006179C7" w:rsidP="005A29C0"/>
    <w:p w14:paraId="0DD7A897" w14:textId="7931FE29" w:rsidR="00293A8E" w:rsidRDefault="00340581" w:rsidP="00293A8E">
      <w:pPr>
        <w:rPr>
          <w:b/>
        </w:rPr>
      </w:pPr>
      <w:r>
        <w:rPr>
          <w:b/>
        </w:rPr>
        <w:t>Doctrinal s</w:t>
      </w:r>
      <w:r w:rsidR="00293A8E" w:rsidRPr="00293A8E">
        <w:rPr>
          <w:b/>
        </w:rPr>
        <w:t xml:space="preserve">tarting </w:t>
      </w:r>
      <w:r w:rsidR="001921F9">
        <w:rPr>
          <w:b/>
        </w:rPr>
        <w:t>p</w:t>
      </w:r>
      <w:r w:rsidR="00293A8E">
        <w:rPr>
          <w:b/>
        </w:rPr>
        <w:t>oint</w:t>
      </w:r>
      <w:r w:rsidR="006C0DCA">
        <w:rPr>
          <w:b/>
        </w:rPr>
        <w:t xml:space="preserve"> of IP law</w:t>
      </w:r>
    </w:p>
    <w:p w14:paraId="1DD50353" w14:textId="62979DAF" w:rsidR="00FC3F33" w:rsidRDefault="00293A8E" w:rsidP="00293A8E">
      <w:r>
        <w:t xml:space="preserve">(a) ‘Strict liability’ for infringement of IP rights: liability for </w:t>
      </w:r>
      <w:r w:rsidR="00BD6C1F">
        <w:t xml:space="preserve">‘wrongful’ (‘infringing’) </w:t>
      </w:r>
      <w:r>
        <w:t xml:space="preserve">conduct </w:t>
      </w:r>
      <w:r>
        <w:rPr>
          <w:i/>
        </w:rPr>
        <w:t>regardless</w:t>
      </w:r>
      <w:r w:rsidR="00BD6C1F">
        <w:rPr>
          <w:i/>
        </w:rPr>
        <w:t>/independently</w:t>
      </w:r>
      <w:r>
        <w:rPr>
          <w:i/>
        </w:rPr>
        <w:t xml:space="preserve"> of</w:t>
      </w:r>
      <w:r>
        <w:t xml:space="preserve"> ‘fault’. Proof of fault not required for </w:t>
      </w:r>
      <w:r>
        <w:rPr>
          <w:i/>
        </w:rPr>
        <w:t xml:space="preserve">primary </w:t>
      </w:r>
      <w:r>
        <w:t>liability; but (</w:t>
      </w:r>
      <w:r w:rsidR="00D01769">
        <w:t>i</w:t>
      </w:r>
      <w:r>
        <w:t>) may be required to establish, for instance, secondary liability, or entitlement to a particular remedy for primary infringement, and (</w:t>
      </w:r>
      <w:r w:rsidR="00D01769">
        <w:t>ii</w:t>
      </w:r>
      <w:r>
        <w:t>) may be relevant, eg to proof of likelihood of confusion</w:t>
      </w:r>
      <w:r w:rsidR="00D01769">
        <w:t xml:space="preserve"> in trademark law</w:t>
      </w:r>
      <w:r>
        <w:t>.</w:t>
      </w:r>
    </w:p>
    <w:p w14:paraId="2D5876E5" w14:textId="6FE81CD3" w:rsidR="001921F9" w:rsidRDefault="001921F9" w:rsidP="00293A8E">
      <w:r>
        <w:t>(</w:t>
      </w:r>
      <w:r w:rsidR="003F5915">
        <w:t>b</w:t>
      </w:r>
      <w:r>
        <w:t>) T</w:t>
      </w:r>
      <w:r w:rsidR="00A9565A">
        <w:t>hree</w:t>
      </w:r>
      <w:r>
        <w:t xml:space="preserve"> </w:t>
      </w:r>
      <w:r w:rsidR="007E122F">
        <w:t xml:space="preserve">doctrinal </w:t>
      </w:r>
      <w:r>
        <w:t>analogies</w:t>
      </w:r>
      <w:r w:rsidR="0087798D">
        <w:t xml:space="preserve"> are used in the IP primary and secondary literature</w:t>
      </w:r>
      <w:r w:rsidR="003871B0">
        <w:t xml:space="preserve"> to make sense of this position</w:t>
      </w:r>
      <w:r>
        <w:t xml:space="preserve">: </w:t>
      </w:r>
      <w:r w:rsidR="00A9565A">
        <w:t xml:space="preserve">tort, </w:t>
      </w:r>
      <w:r>
        <w:t xml:space="preserve">property and </w:t>
      </w:r>
      <w:r w:rsidR="00A9565A">
        <w:t>statute</w:t>
      </w:r>
      <w:r>
        <w:t>.</w:t>
      </w:r>
      <w:r w:rsidR="00DC2ABB">
        <w:t xml:space="preserve"> Do these analogies help us understand </w:t>
      </w:r>
      <w:r w:rsidR="003871B0">
        <w:t>t</w:t>
      </w:r>
      <w:r w:rsidR="00DC2ABB">
        <w:t xml:space="preserve">he </w:t>
      </w:r>
      <w:r w:rsidR="003871B0">
        <w:t>onward march of fault</w:t>
      </w:r>
      <w:r w:rsidR="00DC2ABB">
        <w:t>?</w:t>
      </w:r>
    </w:p>
    <w:p w14:paraId="1AA5A1B6" w14:textId="5F39807B" w:rsidR="001921F9" w:rsidRDefault="001921F9" w:rsidP="00293A8E"/>
    <w:p w14:paraId="249A427B" w14:textId="7763D6BD" w:rsidR="0087798D" w:rsidRDefault="003871B0" w:rsidP="001921F9">
      <w:pPr>
        <w:rPr>
          <w:b/>
        </w:rPr>
      </w:pPr>
      <w:r>
        <w:rPr>
          <w:b/>
        </w:rPr>
        <w:t>Th</w:t>
      </w:r>
      <w:r w:rsidR="0043460B">
        <w:rPr>
          <w:b/>
        </w:rPr>
        <w:t>eory</w:t>
      </w:r>
      <w:r w:rsidR="00DA104F">
        <w:rPr>
          <w:b/>
        </w:rPr>
        <w:t xml:space="preserve">: </w:t>
      </w:r>
      <w:r w:rsidR="00856388">
        <w:rPr>
          <w:b/>
        </w:rPr>
        <w:t>t</w:t>
      </w:r>
      <w:r w:rsidR="0087798D">
        <w:rPr>
          <w:b/>
        </w:rPr>
        <w:t xml:space="preserve">he </w:t>
      </w:r>
      <w:r>
        <w:rPr>
          <w:b/>
        </w:rPr>
        <w:t>t</w:t>
      </w:r>
      <w:r w:rsidR="0087798D">
        <w:rPr>
          <w:b/>
        </w:rPr>
        <w:t xml:space="preserve">ort </w:t>
      </w:r>
      <w:r>
        <w:rPr>
          <w:b/>
        </w:rPr>
        <w:t>n</w:t>
      </w:r>
      <w:r w:rsidR="0087798D">
        <w:rPr>
          <w:b/>
        </w:rPr>
        <w:t>nalogy</w:t>
      </w:r>
    </w:p>
    <w:p w14:paraId="74349ADF" w14:textId="2D255DA4" w:rsidR="001921F9" w:rsidRPr="0087798D" w:rsidRDefault="0087798D" w:rsidP="001921F9">
      <w:pPr>
        <w:rPr>
          <w:b/>
          <w:i/>
        </w:rPr>
      </w:pPr>
      <w:r w:rsidRPr="0087798D">
        <w:rPr>
          <w:b/>
          <w:i/>
        </w:rPr>
        <w:t xml:space="preserve">1. </w:t>
      </w:r>
      <w:r w:rsidR="001921F9" w:rsidRPr="0087798D">
        <w:rPr>
          <w:b/>
          <w:i/>
        </w:rPr>
        <w:t xml:space="preserve">The </w:t>
      </w:r>
      <w:r w:rsidRPr="0087798D">
        <w:rPr>
          <w:b/>
          <w:i/>
        </w:rPr>
        <w:t xml:space="preserve">history </w:t>
      </w:r>
      <w:r w:rsidR="001921F9" w:rsidRPr="0087798D">
        <w:rPr>
          <w:b/>
          <w:i/>
        </w:rPr>
        <w:t>of tort as a legal category</w:t>
      </w:r>
    </w:p>
    <w:p w14:paraId="21265772" w14:textId="7BEC3CA1" w:rsidR="001921F9" w:rsidRPr="008E3616" w:rsidRDefault="001921F9" w:rsidP="001921F9">
      <w:r>
        <w:t>(a) The 19</w:t>
      </w:r>
      <w:r w:rsidRPr="008E3616">
        <w:rPr>
          <w:vertAlign w:val="superscript"/>
        </w:rPr>
        <w:t>th</w:t>
      </w:r>
      <w:r>
        <w:t xml:space="preserve">-century </w:t>
      </w:r>
      <w:r w:rsidR="00DF21B0">
        <w:t xml:space="preserve">procedural </w:t>
      </w:r>
      <w:r>
        <w:t xml:space="preserve">reforms; </w:t>
      </w:r>
      <w:r w:rsidR="00DC2ABB">
        <w:t>Holmes and Pollock</w:t>
      </w:r>
    </w:p>
    <w:p w14:paraId="56F582C2" w14:textId="77777777" w:rsidR="001921F9" w:rsidRPr="00FA5F4C" w:rsidRDefault="001921F9" w:rsidP="001921F9">
      <w:r>
        <w:t>(b) Non-statutory IP</w:t>
      </w:r>
    </w:p>
    <w:p w14:paraId="23A63E38" w14:textId="173F2656" w:rsidR="001921F9" w:rsidRDefault="001921F9" w:rsidP="001921F9">
      <w:r>
        <w:tab/>
        <w:t>(i) Goodwill</w:t>
      </w:r>
      <w:r w:rsidR="00DD7919">
        <w:t xml:space="preserve"> – passing off</w:t>
      </w:r>
    </w:p>
    <w:p w14:paraId="3BADB9D8" w14:textId="3147FE34" w:rsidR="001921F9" w:rsidRDefault="001921F9" w:rsidP="001921F9">
      <w:r>
        <w:tab/>
        <w:t>(ii) Commercial reputation</w:t>
      </w:r>
      <w:r w:rsidR="00DD7919">
        <w:t xml:space="preserve"> – malicious falsehood</w:t>
      </w:r>
    </w:p>
    <w:p w14:paraId="12BF6299" w14:textId="0EAF7F1F" w:rsidR="001921F9" w:rsidRDefault="001921F9" w:rsidP="001921F9">
      <w:r>
        <w:tab/>
        <w:t>(iii) Trade secrets</w:t>
      </w:r>
      <w:r w:rsidR="00DD7919">
        <w:t xml:space="preserve"> – common law or equity</w:t>
      </w:r>
      <w:r w:rsidR="007C1DAD">
        <w:t>?</w:t>
      </w:r>
    </w:p>
    <w:p w14:paraId="54401ACC" w14:textId="4B66BCA2" w:rsidR="00DF21B0" w:rsidRDefault="00DD7919" w:rsidP="001921F9">
      <w:r>
        <w:t>(c) tort or torts; IP or IP rights?</w:t>
      </w:r>
    </w:p>
    <w:p w14:paraId="591964ED" w14:textId="2EEB3884" w:rsidR="001C3AD0" w:rsidRPr="0087798D" w:rsidRDefault="001921F9" w:rsidP="001C3AD0">
      <w:pPr>
        <w:rPr>
          <w:b/>
        </w:rPr>
      </w:pPr>
      <w:r>
        <w:rPr>
          <w:b/>
        </w:rPr>
        <w:t xml:space="preserve"> </w:t>
      </w:r>
      <w:r w:rsidR="0087798D" w:rsidRPr="0087798D">
        <w:rPr>
          <w:b/>
          <w:i/>
        </w:rPr>
        <w:t>2</w:t>
      </w:r>
      <w:r w:rsidR="00DD7919" w:rsidRPr="0087798D">
        <w:rPr>
          <w:b/>
          <w:i/>
        </w:rPr>
        <w:t xml:space="preserve">. </w:t>
      </w:r>
      <w:r w:rsidR="007B3433" w:rsidRPr="0087798D">
        <w:rPr>
          <w:b/>
          <w:i/>
        </w:rPr>
        <w:t xml:space="preserve">The </w:t>
      </w:r>
      <w:r w:rsidR="0087798D" w:rsidRPr="0087798D">
        <w:rPr>
          <w:b/>
          <w:i/>
        </w:rPr>
        <w:t xml:space="preserve">history </w:t>
      </w:r>
      <w:r w:rsidR="007B3433" w:rsidRPr="0087798D">
        <w:rPr>
          <w:b/>
          <w:i/>
        </w:rPr>
        <w:t xml:space="preserve">of IP as a </w:t>
      </w:r>
      <w:r w:rsidR="00DF21B0" w:rsidRPr="0087798D">
        <w:rPr>
          <w:b/>
          <w:i/>
        </w:rPr>
        <w:t>l</w:t>
      </w:r>
      <w:r w:rsidR="007B3433" w:rsidRPr="0087798D">
        <w:rPr>
          <w:b/>
          <w:i/>
        </w:rPr>
        <w:t xml:space="preserve">egal </w:t>
      </w:r>
      <w:r w:rsidR="00DF21B0" w:rsidRPr="0087798D">
        <w:rPr>
          <w:b/>
          <w:i/>
        </w:rPr>
        <w:t>c</w:t>
      </w:r>
      <w:r w:rsidR="007B3433" w:rsidRPr="0087798D">
        <w:rPr>
          <w:b/>
          <w:i/>
        </w:rPr>
        <w:t>ategory</w:t>
      </w:r>
      <w:r w:rsidRPr="0087798D">
        <w:rPr>
          <w:b/>
          <w:i/>
        </w:rPr>
        <w:t xml:space="preserve"> </w:t>
      </w:r>
      <w:r w:rsidR="00DF21B0" w:rsidRPr="0087798D">
        <w:rPr>
          <w:b/>
          <w:i/>
        </w:rPr>
        <w:t>(</w:t>
      </w:r>
      <w:r w:rsidRPr="0087798D">
        <w:rPr>
          <w:b/>
          <w:i/>
        </w:rPr>
        <w:t>according to Sherman and Bently</w:t>
      </w:r>
      <w:r w:rsidR="00DF21B0" w:rsidRPr="0087798D">
        <w:rPr>
          <w:b/>
          <w:i/>
        </w:rPr>
        <w:t>)</w:t>
      </w:r>
    </w:p>
    <w:p w14:paraId="2A3F4B01" w14:textId="5559BBF9" w:rsidR="006D6AC8" w:rsidRDefault="006E44AB" w:rsidP="006E44AB">
      <w:r>
        <w:t>(a)</w:t>
      </w:r>
      <w:r w:rsidR="006D6AC8">
        <w:t xml:space="preserve"> The </w:t>
      </w:r>
      <w:r w:rsidR="00A86299">
        <w:t xml:space="preserve">three </w:t>
      </w:r>
      <w:r w:rsidR="006D6AC8">
        <w:t>ages of IP law</w:t>
      </w:r>
    </w:p>
    <w:p w14:paraId="7A023746" w14:textId="44335DC0" w:rsidR="001921F9" w:rsidRDefault="006D6AC8" w:rsidP="006E44AB">
      <w:r>
        <w:tab/>
        <w:t>(i)</w:t>
      </w:r>
      <w:r w:rsidR="00A9348D">
        <w:t xml:space="preserve"> </w:t>
      </w:r>
      <w:r w:rsidR="001921F9">
        <w:t xml:space="preserve">‘Pre-modern’ </w:t>
      </w:r>
      <w:r w:rsidR="00A9348D">
        <w:t>(1</w:t>
      </w:r>
      <w:r w:rsidR="00AC52BA">
        <w:t>6</w:t>
      </w:r>
      <w:r w:rsidR="00A9348D" w:rsidRPr="00A9348D">
        <w:rPr>
          <w:vertAlign w:val="superscript"/>
        </w:rPr>
        <w:t>th</w:t>
      </w:r>
      <w:r w:rsidR="00A9348D">
        <w:t>-18</w:t>
      </w:r>
      <w:r w:rsidR="00A9348D" w:rsidRPr="00A9348D">
        <w:rPr>
          <w:vertAlign w:val="superscript"/>
        </w:rPr>
        <w:t>th</w:t>
      </w:r>
      <w:r w:rsidR="00A9348D">
        <w:t xml:space="preserve"> centuries) (common law)</w:t>
      </w:r>
    </w:p>
    <w:p w14:paraId="6E6C8F4F" w14:textId="55C035EB" w:rsidR="006D6AC8" w:rsidRDefault="006D6AC8" w:rsidP="006D6AC8">
      <w:r>
        <w:tab/>
      </w:r>
      <w:r w:rsidR="0080728D">
        <w:t>Underlying idea: l</w:t>
      </w:r>
      <w:r w:rsidR="006E44AB" w:rsidRPr="006E44AB">
        <w:t xml:space="preserve">abour and </w:t>
      </w:r>
      <w:r w:rsidR="006E44AB">
        <w:t>p</w:t>
      </w:r>
      <w:r w:rsidR="006E44AB" w:rsidRPr="006E44AB">
        <w:t>roperty</w:t>
      </w:r>
      <w:r w:rsidR="006E44AB">
        <w:t>:</w:t>
      </w:r>
      <w:r w:rsidR="008E3616">
        <w:t xml:space="preserve"> t</w:t>
      </w:r>
      <w:r w:rsidR="006E44AB">
        <w:t>he product of mental</w:t>
      </w:r>
      <w:r w:rsidR="00DD7919">
        <w:t>/creative</w:t>
      </w:r>
      <w:r w:rsidR="006E44AB">
        <w:t xml:space="preserve"> labour, unlike </w:t>
      </w:r>
      <w:r w:rsidR="0080728D">
        <w:tab/>
      </w:r>
      <w:r w:rsidR="006E44AB">
        <w:t xml:space="preserve">that of </w:t>
      </w:r>
      <w:r>
        <w:tab/>
      </w:r>
      <w:r w:rsidR="006E44AB">
        <w:t>physical</w:t>
      </w:r>
      <w:r w:rsidR="00DD7919">
        <w:t>/non-creative</w:t>
      </w:r>
      <w:r w:rsidR="006E44AB">
        <w:t xml:space="preserve"> labour, is the property of the labourer.</w:t>
      </w:r>
    </w:p>
    <w:p w14:paraId="184C4800" w14:textId="49E158F4" w:rsidR="006D6AC8" w:rsidRDefault="006D6AC8" w:rsidP="006E44AB">
      <w:r>
        <w:tab/>
        <w:t xml:space="preserve">(ii) </w:t>
      </w:r>
      <w:r w:rsidR="008E3616">
        <w:t>‘</w:t>
      </w:r>
      <w:r w:rsidR="006E44AB" w:rsidRPr="006E44AB">
        <w:t>Modern</w:t>
      </w:r>
      <w:r w:rsidR="008E3616">
        <w:t>’</w:t>
      </w:r>
      <w:r w:rsidR="006E44AB" w:rsidRPr="006E44AB">
        <w:t xml:space="preserve"> (</w:t>
      </w:r>
      <w:r w:rsidR="00FA5F4C">
        <w:t>19</w:t>
      </w:r>
      <w:r w:rsidR="00FA5F4C" w:rsidRPr="006D6AC8">
        <w:rPr>
          <w:vertAlign w:val="superscript"/>
        </w:rPr>
        <w:t>th</w:t>
      </w:r>
      <w:r w:rsidR="00A9348D">
        <w:t xml:space="preserve"> c</w:t>
      </w:r>
      <w:r w:rsidR="006E44AB" w:rsidRPr="006E44AB">
        <w:t>entury)</w:t>
      </w:r>
      <w:r w:rsidR="00A9348D">
        <w:t xml:space="preserve"> </w:t>
      </w:r>
    </w:p>
    <w:p w14:paraId="036C60C0" w14:textId="69CB30CE" w:rsidR="006E44AB" w:rsidRDefault="006E44AB" w:rsidP="006D6AC8">
      <w:pPr>
        <w:pStyle w:val="ListParagraph"/>
        <w:numPr>
          <w:ilvl w:val="0"/>
          <w:numId w:val="14"/>
        </w:numPr>
      </w:pPr>
      <w:r>
        <w:lastRenderedPageBreak/>
        <w:t>focus on output (the product, physical form) rather than input (mental labour, creativity), manifestation rather than substance</w:t>
      </w:r>
      <w:r w:rsidR="00AC52BA">
        <w:t xml:space="preserve">, </w:t>
      </w:r>
      <w:r>
        <w:t>‘medium rather than message’ (</w:t>
      </w:r>
      <w:r w:rsidR="00AC52BA">
        <w:t>cf</w:t>
      </w:r>
      <w:r>
        <w:t xml:space="preserve"> torts protecting goodwill and (commercial) reputation</w:t>
      </w:r>
      <w:r w:rsidR="00AC52BA">
        <w:t>?</w:t>
      </w:r>
      <w:r>
        <w:t>);</w:t>
      </w:r>
    </w:p>
    <w:p w14:paraId="605EA0D0" w14:textId="5F595E5F" w:rsidR="00AC52BA" w:rsidRDefault="00AC52BA" w:rsidP="00AC52BA">
      <w:pPr>
        <w:pStyle w:val="ListParagraph"/>
        <w:numPr>
          <w:ilvl w:val="0"/>
          <w:numId w:val="14"/>
        </w:numPr>
      </w:pPr>
      <w:r>
        <w:t>the products:</w:t>
      </w:r>
    </w:p>
    <w:p w14:paraId="294C28C6" w14:textId="77777777" w:rsidR="00AC52BA" w:rsidRDefault="00AC52BA" w:rsidP="00AC52BA">
      <w:pPr>
        <w:pStyle w:val="ListParagraph"/>
        <w:numPr>
          <w:ilvl w:val="0"/>
          <w:numId w:val="31"/>
        </w:numPr>
        <w:ind w:left="2100"/>
      </w:pPr>
      <w:r>
        <w:t>Designs: form, aesthetics</w:t>
      </w:r>
    </w:p>
    <w:p w14:paraId="69C50C45" w14:textId="77777777" w:rsidR="00AC52BA" w:rsidRDefault="00AC52BA" w:rsidP="00AC52BA">
      <w:pPr>
        <w:pStyle w:val="ListParagraph"/>
        <w:numPr>
          <w:ilvl w:val="0"/>
          <w:numId w:val="31"/>
        </w:numPr>
        <w:ind w:left="2100"/>
      </w:pPr>
      <w:r>
        <w:t>Patents: function, utility</w:t>
      </w:r>
    </w:p>
    <w:p w14:paraId="29FD0607" w14:textId="77777777" w:rsidR="00AC52BA" w:rsidRDefault="00AC52BA" w:rsidP="00AC52BA">
      <w:pPr>
        <w:pStyle w:val="ListParagraph"/>
        <w:numPr>
          <w:ilvl w:val="0"/>
          <w:numId w:val="31"/>
        </w:numPr>
        <w:ind w:left="2100"/>
      </w:pPr>
      <w:r>
        <w:t>Copyright (contrast copy-rights): literature and arts (vs commerce and industry: patents and designs</w:t>
      </w:r>
    </w:p>
    <w:p w14:paraId="331C5110" w14:textId="6DB3E8F6" w:rsidR="00AC52BA" w:rsidRDefault="00AC52BA" w:rsidP="00AC52BA">
      <w:pPr>
        <w:pStyle w:val="ListParagraph"/>
        <w:numPr>
          <w:ilvl w:val="0"/>
          <w:numId w:val="31"/>
        </w:numPr>
        <w:ind w:left="2100"/>
      </w:pPr>
      <w:r>
        <w:t>Trademarks: investment regardless of creativity</w:t>
      </w:r>
    </w:p>
    <w:p w14:paraId="6FC86297" w14:textId="001B8B63" w:rsidR="006E44AB" w:rsidRDefault="006E44AB" w:rsidP="006D6AC8">
      <w:pPr>
        <w:pStyle w:val="ListParagraph"/>
        <w:numPr>
          <w:ilvl w:val="0"/>
          <w:numId w:val="14"/>
        </w:numPr>
      </w:pPr>
      <w:r>
        <w:t xml:space="preserve">abstract and </w:t>
      </w:r>
      <w:r w:rsidR="00DF21B0">
        <w:t>generative</w:t>
      </w:r>
      <w:r>
        <w:t xml:space="preserve"> rather than industry-specific and reactive</w:t>
      </w:r>
      <w:r w:rsidR="00DF21B0">
        <w:t>;</w:t>
      </w:r>
    </w:p>
    <w:p w14:paraId="21AAA17A" w14:textId="7F3178B1" w:rsidR="00E85221" w:rsidRDefault="006E44AB" w:rsidP="00AC52BA">
      <w:pPr>
        <w:pStyle w:val="ListParagraph"/>
        <w:numPr>
          <w:ilvl w:val="0"/>
          <w:numId w:val="14"/>
        </w:numPr>
      </w:pPr>
      <w:r>
        <w:t xml:space="preserve">public, technical, ‘neutral’, administrative modes of defining and identifying </w:t>
      </w:r>
      <w:r w:rsidR="00FA5F4C">
        <w:t xml:space="preserve">registrable IP </w:t>
      </w:r>
      <w:r>
        <w:t>(contrast evaluative, judicial modes of defining and identifying other forms of property</w:t>
      </w:r>
      <w:r w:rsidR="00A9348D">
        <w:t>)</w:t>
      </w:r>
      <w:r>
        <w:t>.</w:t>
      </w:r>
    </w:p>
    <w:p w14:paraId="7305C5D0" w14:textId="3289E990" w:rsidR="006D6AC8" w:rsidRPr="00FA5F4C" w:rsidRDefault="00E85221" w:rsidP="006D6AC8">
      <w:r>
        <w:rPr>
          <w:b/>
        </w:rPr>
        <w:tab/>
      </w:r>
      <w:r w:rsidR="006D6AC8">
        <w:t>(i</w:t>
      </w:r>
      <w:r>
        <w:t>ii</w:t>
      </w:r>
      <w:r w:rsidR="006D6AC8">
        <w:t>) C</w:t>
      </w:r>
      <w:r w:rsidR="006D6AC8" w:rsidRPr="00FA5F4C">
        <w:t xml:space="preserve">ontemporary </w:t>
      </w:r>
    </w:p>
    <w:p w14:paraId="3F82A46A" w14:textId="79ED32B1" w:rsidR="006D6AC8" w:rsidRDefault="004A770F" w:rsidP="006D6AC8">
      <w:pPr>
        <w:pStyle w:val="ListParagraph"/>
        <w:numPr>
          <w:ilvl w:val="0"/>
          <w:numId w:val="15"/>
        </w:numPr>
      </w:pPr>
      <w:r>
        <w:t>r</w:t>
      </w:r>
      <w:r w:rsidR="006D6AC8">
        <w:t>egistered or not?</w:t>
      </w:r>
    </w:p>
    <w:p w14:paraId="004E1186" w14:textId="77777777" w:rsidR="00A86299" w:rsidRDefault="004A770F" w:rsidP="00A86299">
      <w:pPr>
        <w:pStyle w:val="ListParagraph"/>
        <w:numPr>
          <w:ilvl w:val="0"/>
          <w:numId w:val="15"/>
        </w:numPr>
      </w:pPr>
      <w:r>
        <w:t>n</w:t>
      </w:r>
      <w:r w:rsidR="006D6AC8">
        <w:t>ature, incidents and degree of protection (including standard of liability for infringement).</w:t>
      </w:r>
    </w:p>
    <w:p w14:paraId="7C6801FC" w14:textId="2F1C2545" w:rsidR="006E44AB" w:rsidRPr="00343839" w:rsidRDefault="00A9565A" w:rsidP="00A9348D">
      <w:pPr>
        <w:pStyle w:val="ListParagraph"/>
        <w:numPr>
          <w:ilvl w:val="0"/>
          <w:numId w:val="29"/>
        </w:numPr>
      </w:pPr>
      <w:r>
        <w:t>‘</w:t>
      </w:r>
      <w:r w:rsidR="00343839">
        <w:t>p</w:t>
      </w:r>
      <w:r w:rsidR="006E44AB" w:rsidRPr="00343839">
        <w:t>re-</w:t>
      </w:r>
      <w:r w:rsidR="00343839">
        <w:t>m</w:t>
      </w:r>
      <w:r w:rsidR="006E44AB" w:rsidRPr="00343839">
        <w:t>odern</w:t>
      </w:r>
      <w:r>
        <w:t>’</w:t>
      </w:r>
      <w:r w:rsidR="006E44AB" w:rsidRPr="00343839">
        <w:t xml:space="preserve"> </w:t>
      </w:r>
      <w:r w:rsidR="0062787E">
        <w:t>l</w:t>
      </w:r>
      <w:r w:rsidR="006E44AB" w:rsidRPr="00343839">
        <w:t>aw</w:t>
      </w:r>
    </w:p>
    <w:p w14:paraId="36020025" w14:textId="44A01B59" w:rsidR="00A86299" w:rsidRDefault="006E44AB" w:rsidP="00A9348D">
      <w:pPr>
        <w:pStyle w:val="ListParagraph"/>
        <w:numPr>
          <w:ilvl w:val="0"/>
          <w:numId w:val="30"/>
        </w:numPr>
      </w:pPr>
      <w:r>
        <w:t>quantity of mental labour</w:t>
      </w:r>
    </w:p>
    <w:p w14:paraId="394BAA6F" w14:textId="6012E92B" w:rsidR="006E44AB" w:rsidRDefault="006E44AB" w:rsidP="00A9348D">
      <w:pPr>
        <w:pStyle w:val="ListParagraph"/>
        <w:numPr>
          <w:ilvl w:val="0"/>
          <w:numId w:val="30"/>
        </w:numPr>
      </w:pPr>
      <w:r>
        <w:t>quality of mental labour: discovery (p</w:t>
      </w:r>
      <w:r w:rsidR="00A9565A">
        <w:t xml:space="preserve">rotection of </w:t>
      </w:r>
      <w:r w:rsidRPr="00A86299">
        <w:rPr>
          <w:i/>
        </w:rPr>
        <w:t>ideas</w:t>
      </w:r>
      <w:r w:rsidR="00A9565A">
        <w:rPr>
          <w:i/>
        </w:rPr>
        <w:t>/message</w:t>
      </w:r>
      <w:r w:rsidR="00A9565A">
        <w:t xml:space="preserve">: patents) </w:t>
      </w:r>
      <w:r>
        <w:t xml:space="preserve">vs </w:t>
      </w:r>
      <w:r w:rsidR="00A9565A">
        <w:t xml:space="preserve">protection of </w:t>
      </w:r>
      <w:r w:rsidRPr="00A86299">
        <w:rPr>
          <w:i/>
        </w:rPr>
        <w:t>expression</w:t>
      </w:r>
      <w:r w:rsidR="00A9565A">
        <w:rPr>
          <w:i/>
        </w:rPr>
        <w:t>/medium</w:t>
      </w:r>
      <w:r w:rsidR="00A9565A">
        <w:t>: copyright, trademarks, designs</w:t>
      </w:r>
      <w:r>
        <w:t>)</w:t>
      </w:r>
    </w:p>
    <w:p w14:paraId="02D6D18C" w14:textId="1C7F85E3" w:rsidR="006E44AB" w:rsidRDefault="00A9565A" w:rsidP="00A9348D">
      <w:pPr>
        <w:pStyle w:val="ListParagraph"/>
        <w:numPr>
          <w:ilvl w:val="0"/>
          <w:numId w:val="29"/>
        </w:numPr>
      </w:pPr>
      <w:r>
        <w:t xml:space="preserve">contemporary </w:t>
      </w:r>
      <w:r w:rsidR="00AC52BA">
        <w:t xml:space="preserve">(and ‘modern’) </w:t>
      </w:r>
      <w:r w:rsidR="0062787E">
        <w:t>l</w:t>
      </w:r>
      <w:r w:rsidR="006E44AB" w:rsidRPr="0062787E">
        <w:t>aw</w:t>
      </w:r>
      <w:r w:rsidR="0062787E">
        <w:t>: s</w:t>
      </w:r>
      <w:r w:rsidR="006E44AB">
        <w:t>ocio-economic value/utility of the product</w:t>
      </w:r>
      <w:r w:rsidR="0062787E">
        <w:t>; b</w:t>
      </w:r>
      <w:r w:rsidR="006E44AB">
        <w:t>alancing of interests of creator, infringer and public</w:t>
      </w:r>
      <w:r w:rsidR="0062787E">
        <w:t>.</w:t>
      </w:r>
    </w:p>
    <w:p w14:paraId="08690756" w14:textId="5969122D" w:rsidR="00A9565A" w:rsidRPr="0087798D" w:rsidRDefault="0087798D" w:rsidP="00A9565A">
      <w:pPr>
        <w:rPr>
          <w:b/>
          <w:i/>
        </w:rPr>
      </w:pPr>
      <w:r w:rsidRPr="0087798D">
        <w:rPr>
          <w:b/>
          <w:i/>
        </w:rPr>
        <w:t>3</w:t>
      </w:r>
      <w:r w:rsidR="00A9565A" w:rsidRPr="0087798D">
        <w:rPr>
          <w:b/>
          <w:i/>
        </w:rPr>
        <w:t xml:space="preserve">. </w:t>
      </w:r>
      <w:r w:rsidRPr="0087798D">
        <w:rPr>
          <w:b/>
          <w:i/>
        </w:rPr>
        <w:t>Tort and IP</w:t>
      </w:r>
    </w:p>
    <w:p w14:paraId="404B1FD8" w14:textId="52CCC5FD" w:rsidR="00A9565A" w:rsidRPr="00D30A2F" w:rsidRDefault="00A9565A" w:rsidP="00A9565A">
      <w:r>
        <w:t xml:space="preserve">(a) Tort law rests on two basic principles: ‘respect rights’ and ‘do not harm’. These principles overlap because rights can be harmed as well as disrespected. But harming is only one mode of disrespecting. </w:t>
      </w:r>
      <w:r w:rsidR="00AC52BA">
        <w:t>Like tort law generally, IP law contains both principles.</w:t>
      </w:r>
    </w:p>
    <w:p w14:paraId="1D1184C0" w14:textId="77777777" w:rsidR="00A9565A" w:rsidRDefault="00A9565A" w:rsidP="00A9565A">
      <w:r>
        <w:t>(b) Fault elements can figure in two ways: regarding liability-or-no, either as part of the definition of a right or as a condition of liability for harm; and as a condition of availability of particular remedies.</w:t>
      </w:r>
    </w:p>
    <w:p w14:paraId="441E8713" w14:textId="77777777" w:rsidR="00A9565A" w:rsidRDefault="00A9565A" w:rsidP="00A9565A">
      <w:r>
        <w:t>(c) Liability issues</w:t>
      </w:r>
    </w:p>
    <w:p w14:paraId="6230CF1F" w14:textId="77777777" w:rsidR="00A9565A" w:rsidRDefault="00A9565A" w:rsidP="00A9565A">
      <w:r>
        <w:tab/>
        <w:t>(i) Protected interest</w:t>
      </w:r>
    </w:p>
    <w:p w14:paraId="49CA144F" w14:textId="0B281DB6" w:rsidR="00AB093A" w:rsidRDefault="00A9565A" w:rsidP="00A9565A">
      <w:r>
        <w:tab/>
        <w:t xml:space="preserve">(ii) </w:t>
      </w:r>
      <w:r w:rsidR="00AC52BA">
        <w:t>C</w:t>
      </w:r>
      <w:r>
        <w:t>onduct</w:t>
      </w:r>
    </w:p>
    <w:p w14:paraId="5309430F" w14:textId="77777777" w:rsidR="00AB093A" w:rsidRDefault="00AB093A" w:rsidP="00AB093A">
      <w:pPr>
        <w:pStyle w:val="ListParagraph"/>
        <w:numPr>
          <w:ilvl w:val="0"/>
          <w:numId w:val="22"/>
        </w:numPr>
      </w:pPr>
      <w:r>
        <w:t xml:space="preserve">faulty: </w:t>
      </w:r>
      <w:r w:rsidR="00A9565A">
        <w:t xml:space="preserve">intentional, reckless, negligent </w:t>
      </w:r>
    </w:p>
    <w:p w14:paraId="78761C31" w14:textId="1D088A76" w:rsidR="00AC52BA" w:rsidRDefault="00A9565A" w:rsidP="00AC52BA">
      <w:pPr>
        <w:pStyle w:val="ListParagraph"/>
        <w:numPr>
          <w:ilvl w:val="0"/>
          <w:numId w:val="22"/>
        </w:numPr>
      </w:pPr>
      <w:r>
        <w:t>‘</w:t>
      </w:r>
      <w:r w:rsidR="00AB093A">
        <w:t>wrongful regardless of fault’</w:t>
      </w:r>
    </w:p>
    <w:p w14:paraId="6BB4A54F" w14:textId="4E0D8305" w:rsidR="00AC52BA" w:rsidRDefault="00AC52BA" w:rsidP="00AC52BA">
      <w:r>
        <w:tab/>
        <w:t>(iii) Wrongfulness</w:t>
      </w:r>
    </w:p>
    <w:p w14:paraId="42F657F1" w14:textId="2F9F113D" w:rsidR="00AC52BA" w:rsidRDefault="00AC52BA" w:rsidP="00A9565A">
      <w:pPr>
        <w:pStyle w:val="ListParagraph"/>
        <w:numPr>
          <w:ilvl w:val="0"/>
          <w:numId w:val="32"/>
        </w:numPr>
      </w:pPr>
      <w:r>
        <w:t>Infringement (regardless of benefit to D or harm to C) (‘respect rights’)</w:t>
      </w:r>
    </w:p>
    <w:p w14:paraId="1E200F5B" w14:textId="545FFF0C" w:rsidR="00A9565A" w:rsidRDefault="00A9565A" w:rsidP="00A9565A">
      <w:pPr>
        <w:pStyle w:val="ListParagraph"/>
        <w:numPr>
          <w:ilvl w:val="0"/>
          <w:numId w:val="32"/>
        </w:numPr>
      </w:pPr>
      <w:r>
        <w:t>Causation</w:t>
      </w:r>
      <w:r w:rsidR="00DA104F">
        <w:t xml:space="preserve"> of </w:t>
      </w:r>
      <w:r w:rsidR="00AC52BA">
        <w:t>h</w:t>
      </w:r>
      <w:r w:rsidR="00DA104F">
        <w:t>arm</w:t>
      </w:r>
      <w:r w:rsidR="00AC52BA">
        <w:t xml:space="preserve"> (‘do not harm)</w:t>
      </w:r>
    </w:p>
    <w:p w14:paraId="4EF9D66C" w14:textId="77777777" w:rsidR="00A9565A" w:rsidRDefault="00A9565A" w:rsidP="00A9565A">
      <w:r>
        <w:t>(d) Remedies</w:t>
      </w:r>
    </w:p>
    <w:p w14:paraId="61A3C832" w14:textId="77777777" w:rsidR="00A9565A" w:rsidRDefault="00A9565A" w:rsidP="00A9565A">
      <w:r>
        <w:tab/>
        <w:t>(i) Non-monetary</w:t>
      </w:r>
    </w:p>
    <w:p w14:paraId="634413A2" w14:textId="77777777" w:rsidR="00A9565A" w:rsidRDefault="00A9565A" w:rsidP="00A9565A">
      <w:r>
        <w:tab/>
        <w:t>(ii) Monetary</w:t>
      </w:r>
    </w:p>
    <w:p w14:paraId="45B21627" w14:textId="77777777" w:rsidR="00A9565A" w:rsidRDefault="00A9565A" w:rsidP="00A9565A">
      <w:pPr>
        <w:pStyle w:val="ListParagraph"/>
        <w:numPr>
          <w:ilvl w:val="0"/>
          <w:numId w:val="9"/>
        </w:numPr>
      </w:pPr>
      <w:r>
        <w:t>Nominal</w:t>
      </w:r>
    </w:p>
    <w:p w14:paraId="5C08AA03" w14:textId="77777777" w:rsidR="00A9565A" w:rsidRDefault="00A9565A" w:rsidP="00A9565A">
      <w:pPr>
        <w:pStyle w:val="ListParagraph"/>
        <w:numPr>
          <w:ilvl w:val="0"/>
          <w:numId w:val="9"/>
        </w:numPr>
      </w:pPr>
      <w:r>
        <w:t>Restorative (not available in tort)</w:t>
      </w:r>
    </w:p>
    <w:p w14:paraId="536F18BE" w14:textId="77777777" w:rsidR="00A9565A" w:rsidRDefault="00A9565A" w:rsidP="00A9565A">
      <w:pPr>
        <w:pStyle w:val="ListParagraph"/>
        <w:numPr>
          <w:ilvl w:val="0"/>
          <w:numId w:val="9"/>
        </w:numPr>
      </w:pPr>
      <w:r>
        <w:t>Compensatory</w:t>
      </w:r>
    </w:p>
    <w:p w14:paraId="68152130" w14:textId="77777777" w:rsidR="00A9565A" w:rsidRDefault="00A9565A" w:rsidP="00A9565A">
      <w:pPr>
        <w:pStyle w:val="ListParagraph"/>
        <w:numPr>
          <w:ilvl w:val="0"/>
          <w:numId w:val="9"/>
        </w:numPr>
      </w:pPr>
      <w:r>
        <w:t>Disgorging</w:t>
      </w:r>
    </w:p>
    <w:p w14:paraId="4A3BCC16" w14:textId="348D881D" w:rsidR="00A9565A" w:rsidRDefault="00A9565A" w:rsidP="00A9565A">
      <w:pPr>
        <w:pStyle w:val="ListParagraph"/>
        <w:numPr>
          <w:ilvl w:val="0"/>
          <w:numId w:val="9"/>
        </w:numPr>
      </w:pPr>
      <w:r>
        <w:t>Punitive</w:t>
      </w:r>
    </w:p>
    <w:p w14:paraId="34AB95BB" w14:textId="7FDE292B" w:rsidR="006750D1" w:rsidRDefault="006750D1" w:rsidP="006750D1">
      <w:r>
        <w:tab/>
        <w:t>(iii) Relationship to conduct</w:t>
      </w:r>
    </w:p>
    <w:p w14:paraId="45D63656" w14:textId="08DE4658" w:rsidR="00D01769" w:rsidRDefault="00D01769" w:rsidP="00D01769">
      <w:r>
        <w:t>(e)</w:t>
      </w:r>
      <w:r w:rsidR="00AB093A">
        <w:t xml:space="preserve"> A </w:t>
      </w:r>
      <w:r>
        <w:t>shift to fault in tort law</w:t>
      </w:r>
      <w:r w:rsidR="00AB093A">
        <w:t>?</w:t>
      </w:r>
    </w:p>
    <w:p w14:paraId="523D4ADA" w14:textId="4868BE8C" w:rsidR="006750D1" w:rsidRDefault="006750D1" w:rsidP="00D01769">
      <w:r>
        <w:tab/>
        <w:t>(i) liability determination by juries</w:t>
      </w:r>
    </w:p>
    <w:p w14:paraId="7562DC7E" w14:textId="38467BAB" w:rsidR="006750D1" w:rsidRDefault="006750D1" w:rsidP="00D01769">
      <w:r>
        <w:tab/>
        <w:t>(ii) practical dominance of ‘do not harm’ principle</w:t>
      </w:r>
    </w:p>
    <w:p w14:paraId="28FCAEBA" w14:textId="00C7ED64" w:rsidR="00A9565A" w:rsidRDefault="00A9565A" w:rsidP="00A9565A">
      <w:pPr>
        <w:pStyle w:val="ListParagraph"/>
        <w:ind w:left="1440"/>
      </w:pPr>
    </w:p>
    <w:p w14:paraId="7D44879A" w14:textId="2E08A175" w:rsidR="00A9565A" w:rsidRDefault="00A9565A" w:rsidP="00A9565A">
      <w:pPr>
        <w:rPr>
          <w:b/>
        </w:rPr>
      </w:pPr>
      <w:r>
        <w:rPr>
          <w:b/>
        </w:rPr>
        <w:t>The</w:t>
      </w:r>
      <w:r w:rsidR="00856388">
        <w:rPr>
          <w:b/>
        </w:rPr>
        <w:t>ory: the</w:t>
      </w:r>
      <w:r>
        <w:rPr>
          <w:b/>
        </w:rPr>
        <w:t xml:space="preserve"> property analogy</w:t>
      </w:r>
    </w:p>
    <w:p w14:paraId="491324FE" w14:textId="14D45354" w:rsidR="00A9565A" w:rsidRDefault="0087798D" w:rsidP="0087798D">
      <w:r>
        <w:t xml:space="preserve">(a) </w:t>
      </w:r>
      <w:r w:rsidR="00A9565A">
        <w:t>Tangible vs intangible propert</w:t>
      </w:r>
      <w:r>
        <w:t>y</w:t>
      </w:r>
      <w:r w:rsidR="006750D1">
        <w:t>: how important is the difference</w:t>
      </w:r>
      <w:r w:rsidR="00CE45AD">
        <w:t>?</w:t>
      </w:r>
    </w:p>
    <w:p w14:paraId="3A247548" w14:textId="308D7DE1" w:rsidR="0087798D" w:rsidRDefault="0087798D" w:rsidP="0087798D">
      <w:r>
        <w:t>(b) Property vs obligation; owning vs being owed</w:t>
      </w:r>
      <w:r w:rsidR="006750D1">
        <w:t>: a misleading dichotomy because property interests can be protected by obligations</w:t>
      </w:r>
      <w:r w:rsidR="00CE45AD">
        <w:t>.</w:t>
      </w:r>
    </w:p>
    <w:p w14:paraId="45CBF89B" w14:textId="7342CABE" w:rsidR="0087798D" w:rsidRPr="00E91C0C" w:rsidRDefault="0087798D" w:rsidP="0087798D">
      <w:r>
        <w:t xml:space="preserve">(c) common law </w:t>
      </w:r>
      <w:r w:rsidRPr="0087798D">
        <w:rPr>
          <w:i/>
        </w:rPr>
        <w:t>vs</w:t>
      </w:r>
      <w:r>
        <w:t xml:space="preserve"> equity</w:t>
      </w:r>
      <w:r w:rsidR="006750D1">
        <w:t>: does this distinction cast a shadow over IP law?</w:t>
      </w:r>
    </w:p>
    <w:p w14:paraId="7E7EFC76" w14:textId="55A457F4" w:rsidR="00A9565A" w:rsidRDefault="00A9565A" w:rsidP="00A9565A">
      <w:r>
        <w:t>(</w:t>
      </w:r>
      <w:r w:rsidR="0087798D">
        <w:t>d</w:t>
      </w:r>
      <w:r>
        <w:t>) The non-statutory IP torts</w:t>
      </w:r>
    </w:p>
    <w:p w14:paraId="68A8330D" w14:textId="77777777" w:rsidR="00A9565A" w:rsidRDefault="00A9565A" w:rsidP="00A9565A">
      <w:r>
        <w:tab/>
        <w:t>(i) Passing-off (protecting commercial goodwill; cf nuisance)</w:t>
      </w:r>
    </w:p>
    <w:p w14:paraId="17BB610D" w14:textId="5F73DF8B" w:rsidR="00A9565A" w:rsidRDefault="00A9565A" w:rsidP="00A9565A">
      <w:r>
        <w:tab/>
        <w:t>(ii) Injurious falsehood (protecting commercial reputation; cf defamation)</w:t>
      </w:r>
    </w:p>
    <w:p w14:paraId="0A86F5B6" w14:textId="6468D455" w:rsidR="00A9565A" w:rsidRDefault="00A9565A" w:rsidP="00A9565A">
      <w:r>
        <w:tab/>
        <w:t>(iii) Breach of confidence (protecting (commercial) secrets)</w:t>
      </w:r>
    </w:p>
    <w:p w14:paraId="24A69DB8" w14:textId="28D3961B" w:rsidR="006750D1" w:rsidRDefault="006750D1" w:rsidP="00A9565A">
      <w:r>
        <w:t>are based on a mixture of property and obligation ideas.</w:t>
      </w:r>
    </w:p>
    <w:p w14:paraId="739D86AD" w14:textId="77777777" w:rsidR="00A9565A" w:rsidRPr="00A9565A" w:rsidRDefault="00A9565A" w:rsidP="00A9565A">
      <w:pPr>
        <w:pStyle w:val="ListParagraph"/>
        <w:ind w:left="1440"/>
      </w:pPr>
    </w:p>
    <w:p w14:paraId="3D9F0FEA" w14:textId="3F075D2A" w:rsidR="001C3AD0" w:rsidRDefault="001C3AD0" w:rsidP="001C3AD0">
      <w:pPr>
        <w:rPr>
          <w:b/>
        </w:rPr>
      </w:pPr>
      <w:r w:rsidRPr="0062787E">
        <w:rPr>
          <w:b/>
        </w:rPr>
        <w:t>The</w:t>
      </w:r>
      <w:r w:rsidR="00856388">
        <w:rPr>
          <w:b/>
        </w:rPr>
        <w:t>ory: the</w:t>
      </w:r>
      <w:r w:rsidRPr="0062787E">
        <w:rPr>
          <w:b/>
        </w:rPr>
        <w:t xml:space="preserve"> statutory analogy</w:t>
      </w:r>
    </w:p>
    <w:p w14:paraId="36FF26A4" w14:textId="7B0A93E9" w:rsidR="00AD5DBC" w:rsidRPr="00AD5DBC" w:rsidRDefault="00AD5DBC" w:rsidP="001C3AD0">
      <w:r>
        <w:t xml:space="preserve">(a) Distinguish a </w:t>
      </w:r>
      <w:r w:rsidR="00AB093A">
        <w:t>‘</w:t>
      </w:r>
      <w:r>
        <w:t>statutory tort</w:t>
      </w:r>
      <w:r w:rsidR="00AB093A">
        <w:t>’</w:t>
      </w:r>
      <w:r>
        <w:t xml:space="preserve"> from the tort of breach of statutory duty</w:t>
      </w:r>
      <w:r w:rsidR="00AB093A">
        <w:t xml:space="preserve"> (</w:t>
      </w:r>
      <w:r>
        <w:t>a non-statutory tort</w:t>
      </w:r>
      <w:r w:rsidR="00AB093A">
        <w:t>)?</w:t>
      </w:r>
      <w:r w:rsidR="00305886">
        <w:t xml:space="preserve"> What is a statutory tort strictly so called?</w:t>
      </w:r>
    </w:p>
    <w:p w14:paraId="40D6D665" w14:textId="6259A084" w:rsidR="00E91C0C" w:rsidRDefault="00072028" w:rsidP="001C3AD0">
      <w:pPr>
        <w:rPr>
          <w:b/>
        </w:rPr>
      </w:pPr>
      <w:r>
        <w:t>(</w:t>
      </w:r>
      <w:r w:rsidR="00AD5DBC">
        <w:t>b</w:t>
      </w:r>
      <w:r>
        <w:t>) General tort principle does not distinguish between</w:t>
      </w:r>
      <w:r w:rsidR="00285016">
        <w:t xml:space="preserve"> statutory and non-statutory torts</w:t>
      </w:r>
      <w:r w:rsidR="00AD5DBC">
        <w:t>. The courts and the legislature can both create torts.</w:t>
      </w:r>
    </w:p>
    <w:p w14:paraId="681856A8" w14:textId="77777777" w:rsidR="00AB093A" w:rsidRDefault="00AB093A" w:rsidP="009959E0">
      <w:pPr>
        <w:rPr>
          <w:b/>
        </w:rPr>
      </w:pPr>
    </w:p>
    <w:p w14:paraId="7F94FED6" w14:textId="58F1F1DC" w:rsidR="00804452" w:rsidRDefault="00856388" w:rsidP="009959E0">
      <w:pPr>
        <w:rPr>
          <w:b/>
        </w:rPr>
      </w:pPr>
      <w:r>
        <w:rPr>
          <w:b/>
        </w:rPr>
        <w:t>Application</w:t>
      </w:r>
      <w:r w:rsidR="008D6F2A">
        <w:rPr>
          <w:b/>
        </w:rPr>
        <w:t xml:space="preserve">: </w:t>
      </w:r>
      <w:r w:rsidR="00804452">
        <w:rPr>
          <w:b/>
        </w:rPr>
        <w:t>Warner</w:t>
      </w:r>
      <w:r w:rsidR="00620CAE">
        <w:rPr>
          <w:b/>
        </w:rPr>
        <w:t>-Lambert</w:t>
      </w:r>
      <w:r w:rsidR="00A22EBE">
        <w:rPr>
          <w:b/>
        </w:rPr>
        <w:t xml:space="preserve"> ([2018] UKSC 56)</w:t>
      </w:r>
    </w:p>
    <w:p w14:paraId="5F2E768C" w14:textId="18AA653E" w:rsidR="004663E5" w:rsidRDefault="004663E5" w:rsidP="004663E5">
      <w:r w:rsidRPr="004663E5">
        <w:rPr>
          <w:b/>
        </w:rPr>
        <w:t>1.</w:t>
      </w:r>
      <w:r>
        <w:rPr>
          <w:b/>
        </w:rPr>
        <w:t xml:space="preserve"> </w:t>
      </w:r>
      <w:r w:rsidRPr="004663E5">
        <w:rPr>
          <w:b/>
        </w:rPr>
        <w:t>Facts</w:t>
      </w:r>
      <w:r w:rsidR="001C700D" w:rsidRPr="001C700D">
        <w:t xml:space="preserve"> </w:t>
      </w:r>
    </w:p>
    <w:p w14:paraId="06C7674A" w14:textId="77777777" w:rsidR="004663E5" w:rsidRDefault="004663E5" w:rsidP="004663E5">
      <w:r>
        <w:t>S</w:t>
      </w:r>
      <w:r w:rsidR="001C700D" w:rsidRPr="001C700D">
        <w:t>uppose</w:t>
      </w:r>
      <w:r w:rsidR="001C700D">
        <w:t>:</w:t>
      </w:r>
    </w:p>
    <w:p w14:paraId="24CD5AA9" w14:textId="62D28BF1" w:rsidR="004663E5" w:rsidRDefault="004663E5" w:rsidP="004663E5">
      <w:r>
        <w:t xml:space="preserve">(a) </w:t>
      </w:r>
      <w:r w:rsidR="00305886">
        <w:t xml:space="preserve">C has a patent for </w:t>
      </w:r>
      <w:r w:rsidR="00596BD5">
        <w:t xml:space="preserve">‘use of compound X in the manufacture of a medicament </w:t>
      </w:r>
      <w:r w:rsidR="00596BD5" w:rsidRPr="004663E5">
        <w:rPr>
          <w:i/>
        </w:rPr>
        <w:t>for</w:t>
      </w:r>
      <w:r w:rsidR="00596BD5">
        <w:t xml:space="preserve"> the treatment of indication A’)</w:t>
      </w:r>
      <w:r w:rsidR="0024388E">
        <w:t>. Patent expires</w:t>
      </w:r>
      <w:r w:rsidR="001C700D">
        <w:t xml:space="preserve"> opening market to generic manufacturers</w:t>
      </w:r>
      <w:r w:rsidR="0024388E">
        <w:t>. New (‘Swiss</w:t>
      </w:r>
      <w:r w:rsidR="001C700D">
        <w:t>-style process’</w:t>
      </w:r>
      <w:r w:rsidR="0024388E">
        <w:t xml:space="preserve">) patent awarded </w:t>
      </w:r>
      <w:r w:rsidR="001C700D">
        <w:t xml:space="preserve">to C </w:t>
      </w:r>
      <w:r w:rsidR="0024388E">
        <w:t xml:space="preserve">for use of the </w:t>
      </w:r>
      <w:r w:rsidR="001C700D">
        <w:t xml:space="preserve">same </w:t>
      </w:r>
      <w:r w:rsidR="0024388E">
        <w:t>process</w:t>
      </w:r>
      <w:r w:rsidR="00620CAE">
        <w:t xml:space="preserve"> </w:t>
      </w:r>
      <w:r w:rsidR="0024388E">
        <w:t xml:space="preserve">to manufacture drug </w:t>
      </w:r>
      <w:r w:rsidR="0024388E" w:rsidRPr="00305886">
        <w:t>for</w:t>
      </w:r>
      <w:r w:rsidR="0024388E">
        <w:t xml:space="preserve"> condition </w:t>
      </w:r>
      <w:r w:rsidR="00620CAE">
        <w:t xml:space="preserve">B. </w:t>
      </w:r>
      <w:r w:rsidR="001C700D">
        <w:t>One process, two uses; one use patented, the other not</w:t>
      </w:r>
      <w:r w:rsidR="00EA5BFD">
        <w:t>.</w:t>
      </w:r>
    </w:p>
    <w:p w14:paraId="07DFF3EE" w14:textId="77777777" w:rsidR="004663E5" w:rsidRDefault="004663E5" w:rsidP="004663E5">
      <w:r>
        <w:t xml:space="preserve">(b) </w:t>
      </w:r>
      <w:r w:rsidR="00620CAE">
        <w:t>Pharmacist</w:t>
      </w:r>
      <w:r w:rsidR="00965D54">
        <w:t xml:space="preserve"> E</w:t>
      </w:r>
      <w:r w:rsidR="00620CAE">
        <w:t xml:space="preserve">, without knowing for which use it has been prescribed, dispenses generic drug, manufactured by D using the patented process, which has been prescribed </w:t>
      </w:r>
      <w:r w:rsidR="00620CAE" w:rsidRPr="00305886">
        <w:t>for</w:t>
      </w:r>
      <w:r w:rsidR="00620CAE">
        <w:t xml:space="preserve"> use </w:t>
      </w:r>
      <w:r w:rsidR="00EA5BFD">
        <w:t>B.</w:t>
      </w:r>
      <w:r w:rsidR="001C700D">
        <w:t xml:space="preserve"> </w:t>
      </w:r>
    </w:p>
    <w:p w14:paraId="79BF5486" w14:textId="2A316F79" w:rsidR="004663E5" w:rsidRDefault="004663E5" w:rsidP="004663E5">
      <w:r>
        <w:t xml:space="preserve">(c) </w:t>
      </w:r>
      <w:r w:rsidR="00620CAE">
        <w:t xml:space="preserve">Section 60(1)(c): it is an infringement to dispose of any product obtained by </w:t>
      </w:r>
      <w:r w:rsidR="001C700D">
        <w:t xml:space="preserve">infringing </w:t>
      </w:r>
      <w:r w:rsidR="00620CAE">
        <w:t>use of the patented process.</w:t>
      </w:r>
      <w:r w:rsidR="001C700D">
        <w:t xml:space="preserve"> Two infringements, two infringers. Second infringement </w:t>
      </w:r>
      <w:r w:rsidR="00305886">
        <w:t xml:space="preserve">(disposal of drug) </w:t>
      </w:r>
      <w:r w:rsidR="001C700D">
        <w:t>ancillary to the first</w:t>
      </w:r>
      <w:r w:rsidR="00305886">
        <w:t xml:space="preserve"> (using the manufacturing process)</w:t>
      </w:r>
      <w:r w:rsidR="001C700D">
        <w:t>.</w:t>
      </w:r>
    </w:p>
    <w:p w14:paraId="04A631BA" w14:textId="458E3552" w:rsidR="00E36057" w:rsidRDefault="004663E5" w:rsidP="004663E5">
      <w:r>
        <w:t>(d) G</w:t>
      </w:r>
      <w:r w:rsidR="00B746B7">
        <w:t xml:space="preserve">iven the way the market for the supply of drugs works, it is </w:t>
      </w:r>
      <w:r w:rsidR="00B746B7">
        <w:rPr>
          <w:i/>
        </w:rPr>
        <w:t>inevitable</w:t>
      </w:r>
      <w:r w:rsidR="00B746B7">
        <w:t xml:space="preserve"> (and foreseeable) that the generic drug will leak to some extent into the market for the patented drug</w:t>
      </w:r>
      <w:r w:rsidR="00843EDD">
        <w:t xml:space="preserve"> (‘whatever precautions are taken’: Lord Briggs at [156])</w:t>
      </w:r>
      <w:r w:rsidR="00E36057">
        <w:t>.</w:t>
      </w:r>
    </w:p>
    <w:p w14:paraId="64E32A44" w14:textId="77777777" w:rsidR="004663E5" w:rsidRDefault="004663E5" w:rsidP="00E36057">
      <w:pPr>
        <w:rPr>
          <w:b/>
        </w:rPr>
      </w:pPr>
      <w:r w:rsidRPr="004663E5">
        <w:rPr>
          <w:b/>
        </w:rPr>
        <w:t>2. Issue</w:t>
      </w:r>
      <w:r w:rsidR="00EA5BFD">
        <w:rPr>
          <w:b/>
        </w:rPr>
        <w:t xml:space="preserve"> </w:t>
      </w:r>
    </w:p>
    <w:p w14:paraId="10ED116A" w14:textId="7BA065C0" w:rsidR="00EA5BFD" w:rsidRPr="00EA5BFD" w:rsidRDefault="00EA5BFD" w:rsidP="00E36057">
      <w:r>
        <w:t>D</w:t>
      </w:r>
      <w:r w:rsidR="004663E5">
        <w:t>id D</w:t>
      </w:r>
      <w:r w:rsidR="00BB28B3">
        <w:t xml:space="preserve"> (the generic manufacturer)</w:t>
      </w:r>
      <w:r>
        <w:t xml:space="preserve"> infringe C’s </w:t>
      </w:r>
      <w:r w:rsidR="00AB093A">
        <w:t xml:space="preserve">Swiss-style </w:t>
      </w:r>
      <w:r>
        <w:t>process patent?</w:t>
      </w:r>
    </w:p>
    <w:p w14:paraId="0818B115" w14:textId="0D5967FD" w:rsidR="00620CAE" w:rsidRPr="004663E5" w:rsidRDefault="004663E5" w:rsidP="00620CAE">
      <w:pPr>
        <w:rPr>
          <w:b/>
        </w:rPr>
      </w:pPr>
      <w:r w:rsidRPr="004663E5">
        <w:rPr>
          <w:b/>
        </w:rPr>
        <w:t xml:space="preserve">3. </w:t>
      </w:r>
      <w:r w:rsidR="001C700D" w:rsidRPr="004663E5">
        <w:rPr>
          <w:b/>
        </w:rPr>
        <w:t>Judicial starting-points</w:t>
      </w:r>
    </w:p>
    <w:p w14:paraId="19EF0513" w14:textId="071651BF" w:rsidR="004663E5" w:rsidRDefault="004663E5" w:rsidP="00620CAE">
      <w:r>
        <w:t xml:space="preserve">(a) </w:t>
      </w:r>
      <w:r w:rsidR="00620CAE">
        <w:t>Patent infringement is a statutory tort</w:t>
      </w:r>
      <w:r w:rsidR="00305886">
        <w:t>: so what?</w:t>
      </w:r>
    </w:p>
    <w:p w14:paraId="3804FEDE" w14:textId="7E4AD13E" w:rsidR="00620CAE" w:rsidRDefault="004663E5" w:rsidP="00620CAE">
      <w:r>
        <w:t xml:space="preserve">(b) </w:t>
      </w:r>
      <w:r w:rsidR="00620CAE">
        <w:t xml:space="preserve">Liability </w:t>
      </w:r>
      <w:r w:rsidR="001C700D">
        <w:t>[</w:t>
      </w:r>
      <w:r w:rsidR="00620CAE">
        <w:t>under s 60(1)(c)</w:t>
      </w:r>
      <w:r w:rsidR="001C700D">
        <w:t>]</w:t>
      </w:r>
      <w:r w:rsidR="00620CAE">
        <w:t xml:space="preserve"> </w:t>
      </w:r>
      <w:r w:rsidR="001C700D">
        <w:t xml:space="preserve">for second infringement </w:t>
      </w:r>
      <w:r w:rsidR="00620CAE">
        <w:t>is ‘strict’</w:t>
      </w:r>
      <w:r w:rsidR="001C700D">
        <w:t xml:space="preserve">: </w:t>
      </w:r>
      <w:r w:rsidR="00965D54">
        <w:t xml:space="preserve">E can </w:t>
      </w:r>
      <w:r w:rsidR="00474B16">
        <w:t xml:space="preserve">infringe regardless of intent that the drug be used for purpose </w:t>
      </w:r>
      <w:r w:rsidR="00965D54">
        <w:t>B</w:t>
      </w:r>
      <w:r w:rsidR="00474B16">
        <w:t>, or recklessness or negligence as to its use for that purpose.</w:t>
      </w:r>
      <w:r w:rsidR="00965D54">
        <w:t xml:space="preserve"> </w:t>
      </w:r>
      <w:r w:rsidR="00AB093A">
        <w:t>Disposing of infringing products is a ‘wrong’, regardless of fault.</w:t>
      </w:r>
    </w:p>
    <w:p w14:paraId="17B8BEE8" w14:textId="1EE42767" w:rsidR="004663E5" w:rsidRDefault="004663E5" w:rsidP="00620CAE">
      <w:r>
        <w:t xml:space="preserve">(c) </w:t>
      </w:r>
      <w:r w:rsidR="00596BD5">
        <w:t xml:space="preserve">Under s 60(1)(b) liability for the first infringement will arise where the </w:t>
      </w:r>
      <w:r w:rsidR="00BD1977">
        <w:t xml:space="preserve">generic </w:t>
      </w:r>
      <w:r w:rsidR="00596BD5">
        <w:t xml:space="preserve">manufacturer </w:t>
      </w:r>
      <w:r w:rsidR="00BD1977">
        <w:t xml:space="preserve">who ‘uses’ the process </w:t>
      </w:r>
      <w:r w:rsidR="00596BD5">
        <w:t>knows</w:t>
      </w:r>
      <w:r w:rsidR="00BD0B56">
        <w:t xml:space="preserve"> (‘foresees</w:t>
      </w:r>
      <w:r>
        <w:t>’</w:t>
      </w:r>
      <w:r w:rsidR="00BD0B56">
        <w:t>)</w:t>
      </w:r>
      <w:r w:rsidR="00596BD5">
        <w:t>, or where it would be obvious to a reasonable person</w:t>
      </w:r>
      <w:r w:rsidR="00BD0B56">
        <w:t xml:space="preserve"> (</w:t>
      </w:r>
      <w:r w:rsidR="00305886">
        <w:t>‘</w:t>
      </w:r>
      <w:r w:rsidR="00BD0B56">
        <w:t>foreseeable</w:t>
      </w:r>
      <w:r w:rsidR="00305886">
        <w:t>’</w:t>
      </w:r>
      <w:r w:rsidR="00BD0B56">
        <w:t>)</w:t>
      </w:r>
      <w:r w:rsidR="00596BD5">
        <w:t>, that use of the patented process without consent would be an infringement.</w:t>
      </w:r>
    </w:p>
    <w:p w14:paraId="668A5312" w14:textId="2FEE2456" w:rsidR="00285016" w:rsidRDefault="00285016" w:rsidP="00620CAE">
      <w:r w:rsidRPr="00642032">
        <w:rPr>
          <w:b/>
          <w:i/>
        </w:rPr>
        <w:t>(</w:t>
      </w:r>
      <w:r w:rsidR="004663E5">
        <w:rPr>
          <w:b/>
          <w:i/>
        </w:rPr>
        <w:t>d</w:t>
      </w:r>
      <w:r w:rsidRPr="00642032">
        <w:rPr>
          <w:b/>
          <w:i/>
        </w:rPr>
        <w:t xml:space="preserve">) </w:t>
      </w:r>
      <w:r>
        <w:rPr>
          <w:b/>
          <w:i/>
        </w:rPr>
        <w:t>critically</w:t>
      </w:r>
      <w:r>
        <w:rPr>
          <w:b/>
        </w:rPr>
        <w:t xml:space="preserve">, </w:t>
      </w:r>
      <w:r w:rsidRPr="00285016">
        <w:t>‘in section 60</w:t>
      </w:r>
      <w:r>
        <w:t xml:space="preserve">, phrases about using the process…need to be understood and applied by reference to the claim…in the patent alleged to be infringed’ (Lord Sumption at [62]). The relevant patent claim in this case was in the form ‘use of process X </w:t>
      </w:r>
      <w:r w:rsidRPr="00285016">
        <w:rPr>
          <w:i/>
        </w:rPr>
        <w:t>for purpose</w:t>
      </w:r>
      <w:r>
        <w:t xml:space="preserve"> Y’.</w:t>
      </w:r>
      <w:r w:rsidR="00BD1977">
        <w:t xml:space="preserve"> So ‘use the process’ in s 60(1)(b) must be read as ‘use the patented process to manufacture drugs </w:t>
      </w:r>
      <w:r w:rsidR="00BD1977" w:rsidRPr="00BD1977">
        <w:rPr>
          <w:i/>
        </w:rPr>
        <w:t>for the patented use</w:t>
      </w:r>
      <w:r w:rsidR="00BD1977">
        <w:t>’.</w:t>
      </w:r>
    </w:p>
    <w:p w14:paraId="203E5EAD" w14:textId="31C85982" w:rsidR="00642032" w:rsidRDefault="004663E5" w:rsidP="00620CAE">
      <w:r>
        <w:t xml:space="preserve">(e) </w:t>
      </w:r>
      <w:r w:rsidR="00642032">
        <w:t xml:space="preserve">NOTE the statutory design: fault liability for direct infringement of process patent coupled with strict liability for ancillary infringement of process patent by </w:t>
      </w:r>
      <w:r w:rsidR="00FE4772">
        <w:t>supplying. Cf manufacturer and distributor under product liability legislation.</w:t>
      </w:r>
    </w:p>
    <w:p w14:paraId="658FD43A" w14:textId="77777777" w:rsidR="004663E5" w:rsidRDefault="004663E5" w:rsidP="00620CAE">
      <w:r w:rsidRPr="004663E5">
        <w:rPr>
          <w:b/>
        </w:rPr>
        <w:t xml:space="preserve">4. </w:t>
      </w:r>
      <w:r w:rsidR="00642032" w:rsidRPr="004663E5">
        <w:rPr>
          <w:b/>
        </w:rPr>
        <w:t>Issue reformulated</w:t>
      </w:r>
    </w:p>
    <w:p w14:paraId="570F9987" w14:textId="3F22FBB4" w:rsidR="00642032" w:rsidRPr="00BB28B3" w:rsidRDefault="004663E5" w:rsidP="00620CAE">
      <w:r>
        <w:t>D</w:t>
      </w:r>
      <w:r w:rsidR="00642032">
        <w:t>id D</w:t>
      </w:r>
      <w:r w:rsidR="00BB28B3">
        <w:t xml:space="preserve"> (the generic manufacturer)</w:t>
      </w:r>
      <w:r w:rsidR="00642032">
        <w:t xml:space="preserve"> use the patented process for </w:t>
      </w:r>
      <w:r w:rsidR="00BD1977">
        <w:t>the patented use</w:t>
      </w:r>
      <w:r w:rsidR="00642032">
        <w:t>?</w:t>
      </w:r>
      <w:r w:rsidR="00BB28B3">
        <w:t xml:space="preserve"> </w:t>
      </w:r>
    </w:p>
    <w:p w14:paraId="2947FE5A" w14:textId="49F58A7A" w:rsidR="00642032" w:rsidRDefault="00642032" w:rsidP="00620CAE"/>
    <w:p w14:paraId="6BCE449B" w14:textId="183E58B7" w:rsidR="00642032" w:rsidRDefault="00642032" w:rsidP="00620CAE">
      <w:pPr>
        <w:rPr>
          <w:b/>
        </w:rPr>
      </w:pPr>
      <w:r w:rsidRPr="00642032">
        <w:rPr>
          <w:b/>
          <w:i/>
        </w:rPr>
        <w:t>Mens Rea</w:t>
      </w:r>
      <w:r>
        <w:rPr>
          <w:b/>
        </w:rPr>
        <w:t xml:space="preserve"> in Tort Law</w:t>
      </w:r>
    </w:p>
    <w:p w14:paraId="2918E3BB" w14:textId="1537C331" w:rsidR="00305886" w:rsidRDefault="00305886" w:rsidP="00305886">
      <w:r>
        <w:t xml:space="preserve">1. </w:t>
      </w:r>
      <w:r w:rsidR="00DA104F">
        <w:t>L</w:t>
      </w:r>
      <w:r w:rsidR="00642032">
        <w:t xml:space="preserve">iability and remedy: the standard of liability and the standards that attract specific remedies may be different. </w:t>
      </w:r>
    </w:p>
    <w:p w14:paraId="15280583" w14:textId="0653F5D7" w:rsidR="00642032" w:rsidRDefault="00630D30" w:rsidP="00305886">
      <w:r>
        <w:t xml:space="preserve">2. </w:t>
      </w:r>
      <w:r w:rsidR="00642032">
        <w:t>Liability covers both conduct and consequences. Distinguish between intrinsic and extrinsic consequences of conduct</w:t>
      </w:r>
      <w:r w:rsidR="00DA104F">
        <w:t xml:space="preserve"> (</w:t>
      </w:r>
      <w:r>
        <w:t>cf trespass to land, conversion</w:t>
      </w:r>
      <w:r w:rsidR="00DA104F">
        <w:t>; Wendy Gordon).</w:t>
      </w:r>
    </w:p>
    <w:p w14:paraId="06601F1A" w14:textId="38217425" w:rsidR="00642032" w:rsidRDefault="00A22EBE" w:rsidP="00620CAE">
      <w:r>
        <w:t xml:space="preserve">2. </w:t>
      </w:r>
      <w:r w:rsidR="00642032">
        <w:t>The standards</w:t>
      </w:r>
    </w:p>
    <w:p w14:paraId="76718CE0" w14:textId="0EFB653B" w:rsidR="00A22EBE" w:rsidRDefault="00A22EBE" w:rsidP="00620CAE">
      <w:r>
        <w:t>(a) Fault</w:t>
      </w:r>
    </w:p>
    <w:p w14:paraId="4C779F62" w14:textId="15AFCFE9" w:rsidR="008D6F2A" w:rsidRDefault="008D6F2A" w:rsidP="00620CAE">
      <w:r>
        <w:tab/>
        <w:t>(i) Two aspects of fault</w:t>
      </w:r>
    </w:p>
    <w:p w14:paraId="24CBD752" w14:textId="4193E374" w:rsidR="008D6F2A" w:rsidRDefault="008D6F2A" w:rsidP="008D6F2A">
      <w:pPr>
        <w:pStyle w:val="ListParagraph"/>
        <w:numPr>
          <w:ilvl w:val="0"/>
          <w:numId w:val="27"/>
        </w:numPr>
      </w:pPr>
      <w:r>
        <w:t xml:space="preserve">fault as to conduct – ‘deliberation’ </w:t>
      </w:r>
      <w:r w:rsidRPr="00630D30">
        <w:rPr>
          <w:i/>
        </w:rPr>
        <w:t>vs</w:t>
      </w:r>
      <w:r>
        <w:t xml:space="preserve"> automaticity </w:t>
      </w:r>
      <w:r w:rsidR="00630D30">
        <w:rPr>
          <w:i/>
        </w:rPr>
        <w:t xml:space="preserve">vs </w:t>
      </w:r>
      <w:r>
        <w:t>involuntariness</w:t>
      </w:r>
    </w:p>
    <w:p w14:paraId="176CCF24" w14:textId="77777777" w:rsidR="008D6F2A" w:rsidRDefault="008D6F2A" w:rsidP="008D6F2A">
      <w:pPr>
        <w:pStyle w:val="ListParagraph"/>
        <w:numPr>
          <w:ilvl w:val="0"/>
          <w:numId w:val="27"/>
        </w:numPr>
      </w:pPr>
      <w:r>
        <w:t xml:space="preserve">fault as to consequences of conduct: purpose/aim, knowledge/ foresight, foreseeability. </w:t>
      </w:r>
    </w:p>
    <w:p w14:paraId="5D67353D" w14:textId="240CAF5A" w:rsidR="008D6F2A" w:rsidRDefault="008D6F2A" w:rsidP="008D6F2A">
      <w:pPr>
        <w:pStyle w:val="ListParagraph"/>
        <w:ind w:left="0"/>
      </w:pPr>
      <w:r>
        <w:tab/>
        <w:t>(ii) Distinguish fault from motive/reason (eg ‘malice’, ‘bad faith’).</w:t>
      </w:r>
    </w:p>
    <w:p w14:paraId="7E4242E2" w14:textId="4FC445A1" w:rsidR="00642032" w:rsidRDefault="00642032" w:rsidP="00620CAE">
      <w:r>
        <w:tab/>
        <w:t>(i</w:t>
      </w:r>
      <w:r w:rsidR="008D6F2A">
        <w:t>ii</w:t>
      </w:r>
      <w:r>
        <w:t>) Intent</w:t>
      </w:r>
      <w:r w:rsidR="004462AC">
        <w:t xml:space="preserve">: </w:t>
      </w:r>
      <w:r w:rsidR="00BB28B3">
        <w:t>aiming at consequences</w:t>
      </w:r>
      <w:r w:rsidR="00630D30">
        <w:t xml:space="preserve"> (regardless of motive)</w:t>
      </w:r>
    </w:p>
    <w:p w14:paraId="7C806901" w14:textId="4ABE570E" w:rsidR="00642032" w:rsidRDefault="00642032" w:rsidP="00620CAE">
      <w:r>
        <w:tab/>
        <w:t>(i</w:t>
      </w:r>
      <w:r w:rsidR="008D6F2A">
        <w:t>v</w:t>
      </w:r>
      <w:r>
        <w:t>) Recklessness</w:t>
      </w:r>
      <w:r w:rsidR="004462AC">
        <w:t>: risk-taking</w:t>
      </w:r>
      <w:r w:rsidR="003F5915">
        <w:t xml:space="preserve"> in face of known consequences</w:t>
      </w:r>
      <w:r w:rsidR="00630D30">
        <w:t xml:space="preserve"> (regardless of intent as </w:t>
      </w:r>
      <w:r w:rsidR="00630D30">
        <w:tab/>
        <w:t>to consequences)</w:t>
      </w:r>
    </w:p>
    <w:p w14:paraId="0440371C" w14:textId="3A411C99" w:rsidR="004462AC" w:rsidRDefault="00642032" w:rsidP="00620CAE">
      <w:r>
        <w:tab/>
        <w:t>(</w:t>
      </w:r>
      <w:r w:rsidR="008D6F2A">
        <w:t>v</w:t>
      </w:r>
      <w:r>
        <w:t>) Negligence</w:t>
      </w:r>
    </w:p>
    <w:p w14:paraId="228DB914" w14:textId="19E55523" w:rsidR="004462AC" w:rsidRDefault="00630D30" w:rsidP="004462AC">
      <w:pPr>
        <w:pStyle w:val="ListParagraph"/>
        <w:numPr>
          <w:ilvl w:val="0"/>
          <w:numId w:val="26"/>
        </w:numPr>
      </w:pPr>
      <w:r>
        <w:t xml:space="preserve">conduct: </w:t>
      </w:r>
      <w:r w:rsidR="00642032">
        <w:t xml:space="preserve">failure to take reasonable care against </w:t>
      </w:r>
      <w:r>
        <w:t>(regardless of deliberation)</w:t>
      </w:r>
    </w:p>
    <w:p w14:paraId="55D74C0D" w14:textId="73638CA7" w:rsidR="00642032" w:rsidRDefault="00630D30" w:rsidP="004462AC">
      <w:pPr>
        <w:pStyle w:val="ListParagraph"/>
        <w:numPr>
          <w:ilvl w:val="0"/>
          <w:numId w:val="26"/>
        </w:numPr>
      </w:pPr>
      <w:r>
        <w:t xml:space="preserve">consequences: </w:t>
      </w:r>
      <w:r w:rsidR="00642032">
        <w:t>foreseeable risks of harm</w:t>
      </w:r>
      <w:r w:rsidR="004462AC">
        <w:t xml:space="preserve"> (whether </w:t>
      </w:r>
      <w:r>
        <w:t xml:space="preserve">or not aimed at or </w:t>
      </w:r>
      <w:r w:rsidR="004462AC">
        <w:t>foreseen)</w:t>
      </w:r>
      <w:r w:rsidR="00BB28B3">
        <w:t xml:space="preserve"> </w:t>
      </w:r>
    </w:p>
    <w:p w14:paraId="5CD4F7CD" w14:textId="1EA10C10" w:rsidR="00642032" w:rsidRPr="00BB28B3" w:rsidRDefault="00A22EBE" w:rsidP="00620CAE">
      <w:r>
        <w:t>(b) Regardless of fault: wrongfulness</w:t>
      </w:r>
      <w:r w:rsidR="00642032">
        <w:t xml:space="preserve"> </w:t>
      </w:r>
      <w:r w:rsidR="004462AC">
        <w:t>of conduct regardless of</w:t>
      </w:r>
      <w:r w:rsidR="00630D30">
        <w:t xml:space="preserve"> intent, recklessness </w:t>
      </w:r>
      <w:r w:rsidR="00CE45AD">
        <w:t xml:space="preserve">or </w:t>
      </w:r>
      <w:r w:rsidR="00630D30">
        <w:t>negligence</w:t>
      </w:r>
      <w:r w:rsidR="00BB28B3">
        <w:t>.</w:t>
      </w:r>
    </w:p>
    <w:p w14:paraId="4AB4BF8B" w14:textId="77777777" w:rsidR="00FE4772" w:rsidRDefault="00FE4772" w:rsidP="00620CAE"/>
    <w:p w14:paraId="01237854" w14:textId="582E2EA1" w:rsidR="00FE4772" w:rsidRDefault="00FE4772" w:rsidP="00620CAE">
      <w:pPr>
        <w:rPr>
          <w:b/>
        </w:rPr>
      </w:pPr>
      <w:r w:rsidRPr="00FE4772">
        <w:rPr>
          <w:b/>
          <w:i/>
        </w:rPr>
        <w:t>Mens Rea</w:t>
      </w:r>
      <w:r>
        <w:rPr>
          <w:b/>
        </w:rPr>
        <w:t xml:space="preserve"> in IP Law in the light of </w:t>
      </w:r>
      <w:r>
        <w:rPr>
          <w:b/>
          <w:i/>
        </w:rPr>
        <w:t>Warner-Lambert</w:t>
      </w:r>
      <w:r>
        <w:rPr>
          <w:b/>
        </w:rPr>
        <w:t>: Tests of ‘Acting for a Purpose’</w:t>
      </w:r>
    </w:p>
    <w:p w14:paraId="171610ED" w14:textId="55B8C4A1" w:rsidR="004462AC" w:rsidRDefault="004462AC" w:rsidP="004462AC">
      <w:r>
        <w:t xml:space="preserve">(a) </w:t>
      </w:r>
      <w:r w:rsidR="00700626">
        <w:t>The issue was treated as going to liability, not remedy</w:t>
      </w:r>
      <w:r w:rsidR="00B44140">
        <w:t>.</w:t>
      </w:r>
      <w:r w:rsidR="00843EDD">
        <w:t xml:space="preserve"> </w:t>
      </w:r>
      <w:r w:rsidR="00EB459C">
        <w:t xml:space="preserve">However, ‘The search here is not for the requisite </w:t>
      </w:r>
      <w:r w:rsidR="00EB459C" w:rsidRPr="00BB28B3">
        <w:rPr>
          <w:i/>
        </w:rPr>
        <w:t>intent</w:t>
      </w:r>
      <w:r w:rsidR="00EB459C">
        <w:t xml:space="preserve"> in a tort at all’ (Lord Briggs at [147], but for the proper interpretation of the patent – a </w:t>
      </w:r>
      <w:r w:rsidR="00EB459C" w:rsidRPr="00BB28B3">
        <w:rPr>
          <w:i/>
        </w:rPr>
        <w:t>mental element</w:t>
      </w:r>
      <w:r w:rsidR="00EB459C">
        <w:t xml:space="preserve"> is ‘intrinsic to the claim of infringement’ </w:t>
      </w:r>
      <w:r w:rsidR="00630D30">
        <w:t xml:space="preserve">of a Swiss-style patent </w:t>
      </w:r>
      <w:r w:rsidR="00EB459C">
        <w:t xml:space="preserve">(Lord Sumption at [67]). </w:t>
      </w:r>
      <w:r w:rsidR="008D6F2A">
        <w:t>But so what?</w:t>
      </w:r>
    </w:p>
    <w:p w14:paraId="197C62E6" w14:textId="2C5C4A80" w:rsidR="00FE4772" w:rsidRDefault="00FE4772" w:rsidP="00620CAE">
      <w:r>
        <w:t>(</w:t>
      </w:r>
      <w:r w:rsidR="00B44140">
        <w:t>b</w:t>
      </w:r>
      <w:r>
        <w:t>) Options</w:t>
      </w:r>
      <w:r w:rsidR="004462AC">
        <w:t xml:space="preserve"> considered:</w:t>
      </w:r>
      <w:r w:rsidR="00642032">
        <w:tab/>
      </w:r>
    </w:p>
    <w:p w14:paraId="23751667" w14:textId="560D91C8" w:rsidR="00642032" w:rsidRDefault="00FE4772" w:rsidP="00620CAE">
      <w:r>
        <w:tab/>
      </w:r>
      <w:r w:rsidR="00642032">
        <w:t xml:space="preserve">(i) </w:t>
      </w:r>
      <w:r>
        <w:t xml:space="preserve">manufacture </w:t>
      </w:r>
      <w:r w:rsidR="00630D30">
        <w:t>with the aim of causing leakage.</w:t>
      </w:r>
    </w:p>
    <w:p w14:paraId="20F2E79E" w14:textId="477671E8" w:rsidR="00642032" w:rsidRDefault="00642032" w:rsidP="00620CAE">
      <w:r>
        <w:tab/>
        <w:t xml:space="preserve">(ii) </w:t>
      </w:r>
      <w:r w:rsidR="00BB28B3">
        <w:t xml:space="preserve">manufacturing despite </w:t>
      </w:r>
      <w:r>
        <w:t>foreseeab</w:t>
      </w:r>
      <w:r w:rsidR="00FE4772">
        <w:t>le risk of leakage</w:t>
      </w:r>
      <w:r w:rsidR="00DA104F">
        <w:t>.</w:t>
      </w:r>
    </w:p>
    <w:p w14:paraId="4A866C34" w14:textId="1C216042" w:rsidR="00642032" w:rsidRDefault="00642032" w:rsidP="00620CAE">
      <w:r>
        <w:tab/>
        <w:t>(iii)</w:t>
      </w:r>
      <w:r w:rsidR="00FE4772">
        <w:t xml:space="preserve"> </w:t>
      </w:r>
      <w:r w:rsidR="00BB28B3">
        <w:t xml:space="preserve">manufacturing without taking </w:t>
      </w:r>
      <w:r w:rsidR="00FE4772">
        <w:t xml:space="preserve">reasonable precautions against foreseeable risk of </w:t>
      </w:r>
      <w:r w:rsidR="00BB28B3">
        <w:tab/>
      </w:r>
      <w:r w:rsidR="00FE4772">
        <w:t>leakage</w:t>
      </w:r>
      <w:r w:rsidR="00DA104F">
        <w:t>.</w:t>
      </w:r>
    </w:p>
    <w:p w14:paraId="40F19458" w14:textId="29DF93AF" w:rsidR="00FE4772" w:rsidRDefault="00FE4772" w:rsidP="00620CAE">
      <w:r>
        <w:tab/>
        <w:t xml:space="preserve">(iv) </w:t>
      </w:r>
      <w:r w:rsidR="00BB28B3">
        <w:t xml:space="preserve">failure </w:t>
      </w:r>
      <w:r w:rsidR="00630D30">
        <w:t xml:space="preserve">of </w:t>
      </w:r>
      <w:r w:rsidR="00BB28B3">
        <w:t>the</w:t>
      </w:r>
      <w:r w:rsidR="00DA104F">
        <w:t xml:space="preserve"> </w:t>
      </w:r>
      <w:r w:rsidR="00700626">
        <w:t>‘outward presentation’</w:t>
      </w:r>
      <w:r w:rsidR="009C5B2D">
        <w:t xml:space="preserve"> of the product</w:t>
      </w:r>
      <w:r w:rsidR="00BB28B3">
        <w:t xml:space="preserve"> </w:t>
      </w:r>
      <w:r w:rsidR="00630D30">
        <w:t xml:space="preserve">to </w:t>
      </w:r>
      <w:r w:rsidR="00BB28B3">
        <w:t>guard against leakage.</w:t>
      </w:r>
    </w:p>
    <w:p w14:paraId="5DB17406" w14:textId="51668381" w:rsidR="00FE4772" w:rsidRDefault="00FE4772" w:rsidP="00620CAE">
      <w:r>
        <w:t>(</w:t>
      </w:r>
      <w:r w:rsidR="00B44140">
        <w:t>c</w:t>
      </w:r>
      <w:r>
        <w:t>)</w:t>
      </w:r>
      <w:r w:rsidR="00700626">
        <w:t xml:space="preserve"> (Potentially conflicting) criteria of choice</w:t>
      </w:r>
      <w:r w:rsidR="004128AB">
        <w:t xml:space="preserve"> (</w:t>
      </w:r>
      <w:r w:rsidR="00DA104F">
        <w:t xml:space="preserve">do these </w:t>
      </w:r>
      <w:r w:rsidR="004128AB">
        <w:t>appl</w:t>
      </w:r>
      <w:r w:rsidR="00DA104F">
        <w:t>y in some form</w:t>
      </w:r>
      <w:r w:rsidR="004128AB">
        <w:t xml:space="preserve"> to every IP right</w:t>
      </w:r>
      <w:r w:rsidR="00DA104F">
        <w:t>?</w:t>
      </w:r>
      <w:r w:rsidR="004128AB">
        <w:t>).</w:t>
      </w:r>
    </w:p>
    <w:p w14:paraId="64D370D9" w14:textId="1570DE34" w:rsidR="00700626" w:rsidRDefault="00700626" w:rsidP="00620CAE">
      <w:r>
        <w:tab/>
        <w:t xml:space="preserve">(i) </w:t>
      </w:r>
      <w:r w:rsidR="009909C3">
        <w:t xml:space="preserve">fair </w:t>
      </w:r>
      <w:r>
        <w:t>protection of the patentee</w:t>
      </w:r>
      <w:r w:rsidR="00B44140">
        <w:t xml:space="preserve"> (IP owner)</w:t>
      </w:r>
    </w:p>
    <w:p w14:paraId="4B54E9F1" w14:textId="77777777" w:rsidR="009909C3" w:rsidRDefault="00700626" w:rsidP="00620CAE">
      <w:r>
        <w:tab/>
        <w:t xml:space="preserve">(ii) </w:t>
      </w:r>
      <w:r w:rsidR="009909C3">
        <w:t xml:space="preserve">fair </w:t>
      </w:r>
      <w:r>
        <w:t>protection of the generic manufacturer</w:t>
      </w:r>
      <w:r w:rsidR="00B44140">
        <w:t xml:space="preserve"> (putative IP infringer)</w:t>
      </w:r>
    </w:p>
    <w:p w14:paraId="2034240D" w14:textId="4F3C6BF8" w:rsidR="00700626" w:rsidRDefault="009909C3" w:rsidP="00620CAE">
      <w:r>
        <w:tab/>
        <w:t xml:space="preserve">(iii) protection of </w:t>
      </w:r>
      <w:r w:rsidR="00700626">
        <w:t>public interest</w:t>
      </w:r>
      <w:r>
        <w:t xml:space="preserve"> in ‘affordable’ drugs</w:t>
      </w:r>
    </w:p>
    <w:p w14:paraId="132E1762" w14:textId="01361E89" w:rsidR="00700626" w:rsidRDefault="00700626" w:rsidP="00620CAE">
      <w:r>
        <w:tab/>
        <w:t>(iii) ‘certainty’</w:t>
      </w:r>
      <w:r w:rsidR="00B44140">
        <w:t xml:space="preserve"> </w:t>
      </w:r>
      <w:r w:rsidR="00210FC9">
        <w:t xml:space="preserve">(and fairness: Lord Mance) </w:t>
      </w:r>
      <w:r w:rsidR="00B44140">
        <w:t>for TPs such as distributors and suppliers</w:t>
      </w:r>
    </w:p>
    <w:p w14:paraId="050E6DFC" w14:textId="6948EA43" w:rsidR="00700626" w:rsidRDefault="00700626" w:rsidP="00620CAE">
      <w:r>
        <w:tab/>
        <w:t>[(iv) clinical autonomy (Sumption and Reed)]</w:t>
      </w:r>
    </w:p>
    <w:p w14:paraId="11C8E744" w14:textId="313A5B20" w:rsidR="00B44140" w:rsidRDefault="00FE4772" w:rsidP="00620CAE">
      <w:r>
        <w:t>(</w:t>
      </w:r>
      <w:r w:rsidR="00B44140">
        <w:t>d</w:t>
      </w:r>
      <w:r>
        <w:t xml:space="preserve">) </w:t>
      </w:r>
      <w:r w:rsidRPr="00210FC9">
        <w:rPr>
          <w:i/>
        </w:rPr>
        <w:t>O</w:t>
      </w:r>
      <w:r w:rsidR="00B44140" w:rsidRPr="00210FC9">
        <w:rPr>
          <w:i/>
        </w:rPr>
        <w:t>biter</w:t>
      </w:r>
      <w:r w:rsidR="00B44140">
        <w:t xml:space="preserve"> o</w:t>
      </w:r>
      <w:r>
        <w:t>pinions</w:t>
      </w:r>
      <w:r w:rsidR="00B44140">
        <w:t xml:space="preserve"> </w:t>
      </w:r>
      <w:r w:rsidR="009909C3">
        <w:t>(strength or weakness?)</w:t>
      </w:r>
    </w:p>
    <w:p w14:paraId="3F319186" w14:textId="32EA361D" w:rsidR="00FE4772" w:rsidRDefault="00FE4772" w:rsidP="00620CAE">
      <w:r>
        <w:tab/>
        <w:t>(i) Lords Sumption and Reed:</w:t>
      </w:r>
      <w:r w:rsidR="00700626">
        <w:t xml:space="preserve"> </w:t>
      </w:r>
      <w:r w:rsidR="00B44140">
        <w:t xml:space="preserve">outward presentation </w:t>
      </w:r>
      <w:r w:rsidR="00121343">
        <w:t>(</w:t>
      </w:r>
      <w:r w:rsidR="00E0336D">
        <w:t xml:space="preserve">regardless of D’s intent or </w:t>
      </w:r>
      <w:r w:rsidR="009909C3">
        <w:tab/>
        <w:t>knowledge</w:t>
      </w:r>
      <w:r w:rsidR="00DD5D7F">
        <w:t>).</w:t>
      </w:r>
    </w:p>
    <w:p w14:paraId="2F319ED7" w14:textId="704CCFE8" w:rsidR="009C5B2D" w:rsidRDefault="00B44140" w:rsidP="00620CAE">
      <w:r>
        <w:tab/>
        <w:t>(ii) Lord Briggs:</w:t>
      </w:r>
      <w:r w:rsidR="009C5B2D">
        <w:t xml:space="preserve"> intent (as proved by outward presentation and D’s ‘mental state’, </w:t>
      </w:r>
      <w:r w:rsidR="009C5B2D">
        <w:tab/>
        <w:t xml:space="preserve">otherwise established). </w:t>
      </w:r>
    </w:p>
    <w:p w14:paraId="392763D9" w14:textId="608C4F43" w:rsidR="00210FC9" w:rsidRDefault="00210FC9" w:rsidP="00620CAE">
      <w:r>
        <w:tab/>
        <w:t xml:space="preserve">(iii) Lord Hodge: agrees with Lord Briggs on basis his approach is ‘fairer’. </w:t>
      </w:r>
      <w:r>
        <w:tab/>
        <w:t>L</w:t>
      </w:r>
      <w:r w:rsidR="009909C3">
        <w:t>eave it to l</w:t>
      </w:r>
      <w:r>
        <w:t xml:space="preserve">egislature </w:t>
      </w:r>
      <w:r w:rsidR="009909C3">
        <w:t>to</w:t>
      </w:r>
      <w:r>
        <w:t xml:space="preserve"> protect TPs. </w:t>
      </w:r>
    </w:p>
    <w:p w14:paraId="1D90D0E2" w14:textId="2A847132" w:rsidR="00210FC9" w:rsidRDefault="00210FC9" w:rsidP="00620CAE">
      <w:r>
        <w:tab/>
        <w:t>(iv) Lord Mance</w:t>
      </w:r>
      <w:r w:rsidR="0062449C">
        <w:t>: outward presentation</w:t>
      </w:r>
      <w:r w:rsidR="00DD5D7F">
        <w:t xml:space="preserve"> with burden of persuasion on D.</w:t>
      </w:r>
    </w:p>
    <w:p w14:paraId="35F751AC" w14:textId="6C050A66" w:rsidR="00E0336D" w:rsidRDefault="00E0336D" w:rsidP="00620CAE"/>
    <w:p w14:paraId="109ABB24" w14:textId="77777777" w:rsidR="009909C3" w:rsidRDefault="009909C3" w:rsidP="00620CAE">
      <w:pPr>
        <w:rPr>
          <w:b/>
        </w:rPr>
      </w:pPr>
    </w:p>
    <w:p w14:paraId="186CDFDF" w14:textId="42AC0803" w:rsidR="00E0336D" w:rsidRDefault="00CD262A" w:rsidP="00620CAE">
      <w:pPr>
        <w:rPr>
          <w:b/>
        </w:rPr>
      </w:pPr>
      <w:r>
        <w:rPr>
          <w:b/>
        </w:rPr>
        <w:t xml:space="preserve">Some </w:t>
      </w:r>
      <w:r w:rsidR="009909C3">
        <w:rPr>
          <w:b/>
        </w:rPr>
        <w:t xml:space="preserve">unresolved </w:t>
      </w:r>
      <w:r w:rsidR="00E0336D">
        <w:rPr>
          <w:b/>
        </w:rPr>
        <w:t>issues</w:t>
      </w:r>
    </w:p>
    <w:p w14:paraId="7E943543" w14:textId="77777777" w:rsidR="009909C3" w:rsidRDefault="009909C3" w:rsidP="009909C3">
      <w:r>
        <w:t>1. False equation of intent and mental element? Or is ‘intent’ used to include recklessness?</w:t>
      </w:r>
    </w:p>
    <w:p w14:paraId="2715CAD4" w14:textId="67808F14" w:rsidR="009909C3" w:rsidRPr="00843EDD" w:rsidRDefault="009909C3" w:rsidP="009909C3">
      <w:r>
        <w:t xml:space="preserve">2. Neither foreseeability nor negligence involves a mental state; nor does the ‘outward presentation’ test. So how can any of these satisfy the </w:t>
      </w:r>
      <w:r w:rsidR="00FC129A">
        <w:t>‘</w:t>
      </w:r>
      <w:r>
        <w:t>intrinsic</w:t>
      </w:r>
      <w:r w:rsidR="00FC129A">
        <w:t>’</w:t>
      </w:r>
      <w:r>
        <w:t xml:space="preserve"> requirement of a mental element?</w:t>
      </w:r>
    </w:p>
    <w:p w14:paraId="2C63E4FC" w14:textId="7386119E" w:rsidR="00CD262A" w:rsidRDefault="00CD262A" w:rsidP="00E0336D">
      <w:r>
        <w:t xml:space="preserve">3. How can ‘subjective’ mental states </w:t>
      </w:r>
      <w:r w:rsidR="009909C3">
        <w:t xml:space="preserve">(intent or knowledge) </w:t>
      </w:r>
      <w:r>
        <w:t>be proved? Can ‘objective evidence’ prove a subjective mental state?</w:t>
      </w:r>
      <w:r w:rsidR="009909C3">
        <w:t xml:space="preserve"> Do intent and knowledge actually depend on the</w:t>
      </w:r>
      <w:r w:rsidR="00EC0A43">
        <w:t xml:space="preserve"> nature of the consequences?</w:t>
      </w:r>
    </w:p>
    <w:p w14:paraId="0CDB3751" w14:textId="3A841BE1" w:rsidR="00CD262A" w:rsidRDefault="00CD262A" w:rsidP="00E0336D">
      <w:r>
        <w:t>4. Is ‘outward presentation’ effectively a fault standard – reasonable care? (cf ‘defect’ in product liability)</w:t>
      </w:r>
    </w:p>
    <w:p w14:paraId="5119EC0C" w14:textId="795EC684" w:rsidR="00EB459C" w:rsidRDefault="00CD262A" w:rsidP="00620CAE">
      <w:r>
        <w:t xml:space="preserve">5. What is the relevance of D’s fault to the interests of third parties? </w:t>
      </w:r>
      <w:r w:rsidR="00EB459C">
        <w:t xml:space="preserve">Lord Briggs ([144]) citing Lord Sumption in </w:t>
      </w:r>
      <w:r w:rsidR="00EB459C">
        <w:rPr>
          <w:i/>
        </w:rPr>
        <w:t>Fish v Sea Shepherd</w:t>
      </w:r>
      <w:r w:rsidR="00EB459C">
        <w:t>: ‘Intent in the law of tort is commonly relevant as a control mechanism’.</w:t>
      </w:r>
      <w:r w:rsidR="002507A4">
        <w:t xml:space="preserve"> Cf Fleming’s famous thesis that the duty of care is a control device.</w:t>
      </w:r>
    </w:p>
    <w:p w14:paraId="43F2BA5A" w14:textId="4ADD1664" w:rsidR="00EC0A43" w:rsidRDefault="00EC0A43" w:rsidP="00620CAE">
      <w:r>
        <w:t>6. More generally: what is the relationship between fault and fairness? Is fault an independent requirement or subsidiary to fairness?</w:t>
      </w:r>
      <w:r w:rsidR="00D961A1">
        <w:t xml:space="preserve"> Is fault a requirement of corrective justice or of distributive</w:t>
      </w:r>
      <w:r w:rsidR="00FC129A">
        <w:t xml:space="preserve"> </w:t>
      </w:r>
      <w:r w:rsidR="00D961A1">
        <w:t>justice?</w:t>
      </w:r>
    </w:p>
    <w:p w14:paraId="137FBAEB" w14:textId="77777777" w:rsidR="00EC0A43" w:rsidRDefault="00EC0A43" w:rsidP="00620CAE">
      <w:r>
        <w:t>7</w:t>
      </w:r>
      <w:r w:rsidR="00CD262A">
        <w:t xml:space="preserve">. </w:t>
      </w:r>
      <w:r>
        <w:t xml:space="preserve">When is fairness to TPs a matter for the </w:t>
      </w:r>
      <w:r w:rsidR="00D229EE">
        <w:t>legislature</w:t>
      </w:r>
      <w:r>
        <w:t xml:space="preserve"> and when may the court weigh in?</w:t>
      </w:r>
    </w:p>
    <w:p w14:paraId="27184038" w14:textId="29D5D04D" w:rsidR="00121B1C" w:rsidRDefault="00EC0A43" w:rsidP="00620CAE">
      <w:r>
        <w:t>8. What is the relevance of evidence about the law in other jurisdictions?</w:t>
      </w:r>
    </w:p>
    <w:p w14:paraId="39161460" w14:textId="77777777" w:rsidR="00121B1C" w:rsidRDefault="00121B1C" w:rsidP="00620CAE">
      <w:pPr>
        <w:rPr>
          <w:b/>
        </w:rPr>
      </w:pPr>
    </w:p>
    <w:p w14:paraId="425C7EAF" w14:textId="57BE1C74" w:rsidR="00EB459C" w:rsidRPr="00EB459C" w:rsidRDefault="00EB459C" w:rsidP="00620CAE"/>
    <w:p w14:paraId="5A95D6B9" w14:textId="77777777" w:rsidR="009C5B2D" w:rsidRPr="00642032" w:rsidRDefault="009C5B2D" w:rsidP="00620CAE"/>
    <w:p w14:paraId="36FEA59C" w14:textId="56F3E639" w:rsidR="00596BD5" w:rsidRPr="00596BD5" w:rsidRDefault="00596BD5" w:rsidP="00620CAE">
      <w:r>
        <w:tab/>
      </w:r>
    </w:p>
    <w:p w14:paraId="3BF5481D" w14:textId="4BDC4EE9" w:rsidR="00C52BA1" w:rsidRDefault="00C52BA1" w:rsidP="00620CAE"/>
    <w:p w14:paraId="2E28EF93" w14:textId="3829E2ED" w:rsidR="00620CAE" w:rsidRDefault="00620CAE" w:rsidP="00620CAE"/>
    <w:p w14:paraId="39F35DDD" w14:textId="77777777" w:rsidR="00C52BA1" w:rsidRPr="00620CAE" w:rsidRDefault="00C52BA1" w:rsidP="00620CAE"/>
    <w:sectPr w:rsidR="00C52BA1" w:rsidRPr="00620CAE" w:rsidSect="0066402A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1197C" w14:textId="77777777" w:rsidR="004831E1" w:rsidRDefault="004831E1" w:rsidP="0027158A">
      <w:r>
        <w:separator/>
      </w:r>
    </w:p>
  </w:endnote>
  <w:endnote w:type="continuationSeparator" w:id="0">
    <w:p w14:paraId="42B9F32C" w14:textId="77777777" w:rsidR="004831E1" w:rsidRDefault="004831E1" w:rsidP="0027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047521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CBF636" w14:textId="53562C45" w:rsidR="0027158A" w:rsidRDefault="0027158A" w:rsidP="001E4C7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E45635" w14:textId="77777777" w:rsidR="0027158A" w:rsidRDefault="00271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281899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C7B4CB" w14:textId="61B1FD97" w:rsidR="0027158A" w:rsidRDefault="0027158A" w:rsidP="001E4C7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E603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FCA80D" w14:textId="77777777" w:rsidR="0027158A" w:rsidRDefault="00271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5989F" w14:textId="77777777" w:rsidR="004831E1" w:rsidRDefault="004831E1" w:rsidP="0027158A">
      <w:r>
        <w:separator/>
      </w:r>
    </w:p>
  </w:footnote>
  <w:footnote w:type="continuationSeparator" w:id="0">
    <w:p w14:paraId="2C7436CE" w14:textId="77777777" w:rsidR="004831E1" w:rsidRDefault="004831E1" w:rsidP="0027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207"/>
    <w:multiLevelType w:val="hybridMultilevel"/>
    <w:tmpl w:val="76E0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98F"/>
    <w:multiLevelType w:val="hybridMultilevel"/>
    <w:tmpl w:val="9D30C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5029"/>
    <w:multiLevelType w:val="hybridMultilevel"/>
    <w:tmpl w:val="F862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F2101B"/>
    <w:multiLevelType w:val="hybridMultilevel"/>
    <w:tmpl w:val="4330EEB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83B6413"/>
    <w:multiLevelType w:val="hybridMultilevel"/>
    <w:tmpl w:val="3EACC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85F3F"/>
    <w:multiLevelType w:val="hybridMultilevel"/>
    <w:tmpl w:val="8B5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E5488"/>
    <w:multiLevelType w:val="hybridMultilevel"/>
    <w:tmpl w:val="AC385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346D1E"/>
    <w:multiLevelType w:val="hybridMultilevel"/>
    <w:tmpl w:val="829883A0"/>
    <w:lvl w:ilvl="0" w:tplc="757C8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0F6D"/>
    <w:multiLevelType w:val="hybridMultilevel"/>
    <w:tmpl w:val="5C06A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52705B"/>
    <w:multiLevelType w:val="hybridMultilevel"/>
    <w:tmpl w:val="2EAAB0D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7A10292"/>
    <w:multiLevelType w:val="hybridMultilevel"/>
    <w:tmpl w:val="B75E34E0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 w15:restartNumberingAfterBreak="0">
    <w:nsid w:val="2BA2132C"/>
    <w:multiLevelType w:val="hybridMultilevel"/>
    <w:tmpl w:val="65666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9548F"/>
    <w:multiLevelType w:val="hybridMultilevel"/>
    <w:tmpl w:val="7238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F67BF"/>
    <w:multiLevelType w:val="hybridMultilevel"/>
    <w:tmpl w:val="CCBA8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BA523D"/>
    <w:multiLevelType w:val="hybridMultilevel"/>
    <w:tmpl w:val="C7C42266"/>
    <w:lvl w:ilvl="0" w:tplc="17E86F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4F54F2"/>
    <w:multiLevelType w:val="hybridMultilevel"/>
    <w:tmpl w:val="3B4E7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B64B89"/>
    <w:multiLevelType w:val="hybridMultilevel"/>
    <w:tmpl w:val="99525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26D8A"/>
    <w:multiLevelType w:val="hybridMultilevel"/>
    <w:tmpl w:val="4686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F6A78"/>
    <w:multiLevelType w:val="hybridMultilevel"/>
    <w:tmpl w:val="924A8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0A65C4"/>
    <w:multiLevelType w:val="hybridMultilevel"/>
    <w:tmpl w:val="DD468A18"/>
    <w:lvl w:ilvl="0" w:tplc="8B5CC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C13FC"/>
    <w:multiLevelType w:val="hybridMultilevel"/>
    <w:tmpl w:val="14542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C21AA"/>
    <w:multiLevelType w:val="hybridMultilevel"/>
    <w:tmpl w:val="6EFA0BC8"/>
    <w:lvl w:ilvl="0" w:tplc="1E4A88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901DA"/>
    <w:multiLevelType w:val="hybridMultilevel"/>
    <w:tmpl w:val="4D5A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D3852"/>
    <w:multiLevelType w:val="hybridMultilevel"/>
    <w:tmpl w:val="7E8424AC"/>
    <w:lvl w:ilvl="0" w:tplc="85906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E45BE"/>
    <w:multiLevelType w:val="hybridMultilevel"/>
    <w:tmpl w:val="92E01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287526"/>
    <w:multiLevelType w:val="hybridMultilevel"/>
    <w:tmpl w:val="67E664B6"/>
    <w:lvl w:ilvl="0" w:tplc="04090003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26" w15:restartNumberingAfterBreak="0">
    <w:nsid w:val="62E06F27"/>
    <w:multiLevelType w:val="hybridMultilevel"/>
    <w:tmpl w:val="D7E64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407A1E"/>
    <w:multiLevelType w:val="hybridMultilevel"/>
    <w:tmpl w:val="3166657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619751A"/>
    <w:multiLevelType w:val="hybridMultilevel"/>
    <w:tmpl w:val="5EEA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B1BAC"/>
    <w:multiLevelType w:val="hybridMultilevel"/>
    <w:tmpl w:val="64100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287494"/>
    <w:multiLevelType w:val="hybridMultilevel"/>
    <w:tmpl w:val="492C7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803B33"/>
    <w:multiLevelType w:val="hybridMultilevel"/>
    <w:tmpl w:val="D77C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253CD"/>
    <w:multiLevelType w:val="hybridMultilevel"/>
    <w:tmpl w:val="4544B800"/>
    <w:lvl w:ilvl="0" w:tplc="21F41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0"/>
  </w:num>
  <w:num w:numId="5">
    <w:abstractNumId w:val="30"/>
  </w:num>
  <w:num w:numId="6">
    <w:abstractNumId w:val="11"/>
  </w:num>
  <w:num w:numId="7">
    <w:abstractNumId w:val="31"/>
  </w:num>
  <w:num w:numId="8">
    <w:abstractNumId w:val="4"/>
  </w:num>
  <w:num w:numId="9">
    <w:abstractNumId w:val="24"/>
  </w:num>
  <w:num w:numId="10">
    <w:abstractNumId w:val="21"/>
  </w:num>
  <w:num w:numId="11">
    <w:abstractNumId w:val="16"/>
  </w:num>
  <w:num w:numId="12">
    <w:abstractNumId w:val="13"/>
  </w:num>
  <w:num w:numId="13">
    <w:abstractNumId w:val="17"/>
  </w:num>
  <w:num w:numId="14">
    <w:abstractNumId w:val="6"/>
  </w:num>
  <w:num w:numId="15">
    <w:abstractNumId w:val="29"/>
  </w:num>
  <w:num w:numId="16">
    <w:abstractNumId w:val="14"/>
  </w:num>
  <w:num w:numId="17">
    <w:abstractNumId w:val="5"/>
  </w:num>
  <w:num w:numId="18">
    <w:abstractNumId w:val="26"/>
  </w:num>
  <w:num w:numId="19">
    <w:abstractNumId w:val="3"/>
  </w:num>
  <w:num w:numId="20">
    <w:abstractNumId w:val="8"/>
  </w:num>
  <w:num w:numId="21">
    <w:abstractNumId w:val="23"/>
  </w:num>
  <w:num w:numId="22">
    <w:abstractNumId w:val="10"/>
  </w:num>
  <w:num w:numId="23">
    <w:abstractNumId w:val="7"/>
  </w:num>
  <w:num w:numId="24">
    <w:abstractNumId w:val="19"/>
  </w:num>
  <w:num w:numId="25">
    <w:abstractNumId w:val="32"/>
  </w:num>
  <w:num w:numId="26">
    <w:abstractNumId w:val="15"/>
  </w:num>
  <w:num w:numId="27">
    <w:abstractNumId w:val="2"/>
  </w:num>
  <w:num w:numId="28">
    <w:abstractNumId w:val="20"/>
  </w:num>
  <w:num w:numId="29">
    <w:abstractNumId w:val="25"/>
  </w:num>
  <w:num w:numId="30">
    <w:abstractNumId w:val="9"/>
  </w:num>
  <w:num w:numId="31">
    <w:abstractNumId w:val="27"/>
  </w:num>
  <w:num w:numId="32">
    <w:abstractNumId w:val="1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BD"/>
    <w:rsid w:val="000447E4"/>
    <w:rsid w:val="00072028"/>
    <w:rsid w:val="000E0415"/>
    <w:rsid w:val="00121343"/>
    <w:rsid w:val="00121B1C"/>
    <w:rsid w:val="001248C7"/>
    <w:rsid w:val="00180E86"/>
    <w:rsid w:val="001921F9"/>
    <w:rsid w:val="001A7008"/>
    <w:rsid w:val="001B047B"/>
    <w:rsid w:val="001C3AD0"/>
    <w:rsid w:val="001C700D"/>
    <w:rsid w:val="00210FC9"/>
    <w:rsid w:val="0024388E"/>
    <w:rsid w:val="002507A4"/>
    <w:rsid w:val="0027158A"/>
    <w:rsid w:val="00285016"/>
    <w:rsid w:val="00293A8E"/>
    <w:rsid w:val="002E5770"/>
    <w:rsid w:val="00305886"/>
    <w:rsid w:val="00340581"/>
    <w:rsid w:val="00343839"/>
    <w:rsid w:val="00345A34"/>
    <w:rsid w:val="003871B0"/>
    <w:rsid w:val="003B27A2"/>
    <w:rsid w:val="003F5915"/>
    <w:rsid w:val="00411135"/>
    <w:rsid w:val="004128AB"/>
    <w:rsid w:val="0043460B"/>
    <w:rsid w:val="004462AC"/>
    <w:rsid w:val="004663E5"/>
    <w:rsid w:val="00474B16"/>
    <w:rsid w:val="004831E1"/>
    <w:rsid w:val="004A770F"/>
    <w:rsid w:val="004B1C5B"/>
    <w:rsid w:val="005628BD"/>
    <w:rsid w:val="00576789"/>
    <w:rsid w:val="00576FC1"/>
    <w:rsid w:val="00594BE7"/>
    <w:rsid w:val="00596BD5"/>
    <w:rsid w:val="005A29C0"/>
    <w:rsid w:val="005D6DA6"/>
    <w:rsid w:val="006179C7"/>
    <w:rsid w:val="00620CAE"/>
    <w:rsid w:val="0062449C"/>
    <w:rsid w:val="0062787E"/>
    <w:rsid w:val="00630D30"/>
    <w:rsid w:val="00642032"/>
    <w:rsid w:val="0066402A"/>
    <w:rsid w:val="006750D1"/>
    <w:rsid w:val="00692FE6"/>
    <w:rsid w:val="006C0DCA"/>
    <w:rsid w:val="006D6AC8"/>
    <w:rsid w:val="006E44AB"/>
    <w:rsid w:val="006E6039"/>
    <w:rsid w:val="00700626"/>
    <w:rsid w:val="007B3433"/>
    <w:rsid w:val="007C1DAD"/>
    <w:rsid w:val="007E122F"/>
    <w:rsid w:val="00804452"/>
    <w:rsid w:val="0080728D"/>
    <w:rsid w:val="00843EDD"/>
    <w:rsid w:val="00856388"/>
    <w:rsid w:val="0087798D"/>
    <w:rsid w:val="0088486A"/>
    <w:rsid w:val="00896BF3"/>
    <w:rsid w:val="008D570E"/>
    <w:rsid w:val="008D6F2A"/>
    <w:rsid w:val="008E3616"/>
    <w:rsid w:val="00965D54"/>
    <w:rsid w:val="009909C3"/>
    <w:rsid w:val="00993886"/>
    <w:rsid w:val="009959E0"/>
    <w:rsid w:val="009A3BFB"/>
    <w:rsid w:val="009B64AD"/>
    <w:rsid w:val="009C5B2D"/>
    <w:rsid w:val="00A00482"/>
    <w:rsid w:val="00A0490D"/>
    <w:rsid w:val="00A22EBE"/>
    <w:rsid w:val="00A320A9"/>
    <w:rsid w:val="00A45F57"/>
    <w:rsid w:val="00A86299"/>
    <w:rsid w:val="00A9348D"/>
    <w:rsid w:val="00A9565A"/>
    <w:rsid w:val="00AB093A"/>
    <w:rsid w:val="00AC52BA"/>
    <w:rsid w:val="00AD5DBC"/>
    <w:rsid w:val="00AE0B7E"/>
    <w:rsid w:val="00AF5792"/>
    <w:rsid w:val="00B44140"/>
    <w:rsid w:val="00B4677C"/>
    <w:rsid w:val="00B6134C"/>
    <w:rsid w:val="00B746B7"/>
    <w:rsid w:val="00B7488E"/>
    <w:rsid w:val="00BB28B3"/>
    <w:rsid w:val="00BD0B56"/>
    <w:rsid w:val="00BD1977"/>
    <w:rsid w:val="00BD3FA1"/>
    <w:rsid w:val="00BD6C1F"/>
    <w:rsid w:val="00BE6DB4"/>
    <w:rsid w:val="00C52BA1"/>
    <w:rsid w:val="00CB1132"/>
    <w:rsid w:val="00CD262A"/>
    <w:rsid w:val="00CE45AD"/>
    <w:rsid w:val="00D01769"/>
    <w:rsid w:val="00D1572B"/>
    <w:rsid w:val="00D229EE"/>
    <w:rsid w:val="00D30A2F"/>
    <w:rsid w:val="00D560E7"/>
    <w:rsid w:val="00D61CE5"/>
    <w:rsid w:val="00D961A1"/>
    <w:rsid w:val="00DA104F"/>
    <w:rsid w:val="00DA65AE"/>
    <w:rsid w:val="00DC07FE"/>
    <w:rsid w:val="00DC2ABB"/>
    <w:rsid w:val="00DD5D7F"/>
    <w:rsid w:val="00DD7919"/>
    <w:rsid w:val="00DF21B0"/>
    <w:rsid w:val="00E0336D"/>
    <w:rsid w:val="00E36057"/>
    <w:rsid w:val="00E37C94"/>
    <w:rsid w:val="00E85221"/>
    <w:rsid w:val="00E91C0C"/>
    <w:rsid w:val="00EA5BFD"/>
    <w:rsid w:val="00EB459C"/>
    <w:rsid w:val="00EC0A43"/>
    <w:rsid w:val="00F577EF"/>
    <w:rsid w:val="00FA5F4C"/>
    <w:rsid w:val="00FC129A"/>
    <w:rsid w:val="00FC3F33"/>
    <w:rsid w:val="00FE4772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1873"/>
  <w15:chartTrackingRefBased/>
  <w15:docId w15:val="{8BECD7AF-9AB2-5545-AFAB-4BA54BE6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B64AD"/>
  </w:style>
  <w:style w:type="paragraph" w:styleId="ListParagraph">
    <w:name w:val="List Paragraph"/>
    <w:basedOn w:val="Normal"/>
    <w:uiPriority w:val="34"/>
    <w:qFormat/>
    <w:rsid w:val="009959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58A"/>
  </w:style>
  <w:style w:type="character" w:styleId="PageNumber">
    <w:name w:val="page number"/>
    <w:basedOn w:val="DefaultParagraphFont"/>
    <w:uiPriority w:val="99"/>
    <w:semiHidden/>
    <w:unhideWhenUsed/>
    <w:rsid w:val="0027158A"/>
  </w:style>
  <w:style w:type="paragraph" w:styleId="BalloonText">
    <w:name w:val="Balloon Text"/>
    <w:basedOn w:val="Normal"/>
    <w:link w:val="BalloonTextChar"/>
    <w:uiPriority w:val="99"/>
    <w:semiHidden/>
    <w:unhideWhenUsed/>
    <w:rsid w:val="006E6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D2BC9A727BD41824CEBAA2425E587" ma:contentTypeVersion="5" ma:contentTypeDescription="Create a new document." ma:contentTypeScope="" ma:versionID="0bcbc81b0220a6d41e5ffd788b2c5101">
  <xsd:schema xmlns:xsd="http://www.w3.org/2001/XMLSchema" xmlns:xs="http://www.w3.org/2001/XMLSchema" xmlns:p="http://schemas.microsoft.com/office/2006/metadata/properties" xmlns:ns2="a46a402f-8785-424b-ac89-783bde2122e4" targetNamespace="http://schemas.microsoft.com/office/2006/metadata/properties" ma:root="true" ma:fieldsID="b9884fa6d871a2596245511625a248d9" ns2:_="">
    <xsd:import namespace="a46a402f-8785-424b-ac89-783bde212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a402f-8785-424b-ac89-783bde212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EFA78-8ED7-46FB-9D68-65C6E0911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a402f-8785-424b-ac89-783bde212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DBF98-2C67-4AB3-80B5-CC21CD1F3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01A69-09BC-44A1-AC6F-2E8B2CDC76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46a402f-8785-424b-ac89-783bde2122e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10194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Felicity Eves</cp:lastModifiedBy>
  <cp:revision>2</cp:revision>
  <cp:lastPrinted>2019-03-07T14:25:00Z</cp:lastPrinted>
  <dcterms:created xsi:type="dcterms:W3CDTF">2019-03-07T15:22:00Z</dcterms:created>
  <dcterms:modified xsi:type="dcterms:W3CDTF">2019-03-07T15:22:00Z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0x0101000ACD2BC9A727BD41824CEBAA2425E587</vt:lpwstr>
  </property>
</Properties>
</file>